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1BFB52">
      <w:pPr>
        <w:snapToGrid w:val="0"/>
        <w:spacing w:line="360" w:lineRule="auto"/>
        <w:jc w:val="center"/>
        <w:rPr>
          <w:rFonts w:hint="eastAsia" w:ascii="宋体" w:hAnsi="宋体"/>
          <w:sz w:val="48"/>
          <w:szCs w:val="48"/>
        </w:rPr>
      </w:pPr>
    </w:p>
    <w:p w14:paraId="27D14533">
      <w:pPr>
        <w:jc w:val="center"/>
        <w:rPr>
          <w:rFonts w:ascii="宋体" w:hAnsi="宋体"/>
          <w:sz w:val="48"/>
          <w:szCs w:val="48"/>
        </w:rPr>
      </w:pPr>
    </w:p>
    <w:p w14:paraId="11A44518">
      <w:pPr>
        <w:jc w:val="center"/>
        <w:rPr>
          <w:rFonts w:ascii="宋体" w:hAnsi="宋体"/>
          <w:b/>
          <w:bCs/>
          <w:color w:val="000000"/>
          <w:sz w:val="48"/>
          <w:szCs w:val="48"/>
        </w:rPr>
      </w:pPr>
      <w:r>
        <w:rPr>
          <w:rFonts w:hint="eastAsia" w:ascii="宋体" w:hAnsi="宋体"/>
          <w:b/>
          <w:bCs/>
          <w:color w:val="000000"/>
          <w:sz w:val="48"/>
          <w:szCs w:val="48"/>
        </w:rPr>
        <w:t>中国重汽集团</w:t>
      </w:r>
      <w:r>
        <w:rPr>
          <w:rFonts w:hint="eastAsia" w:ascii="宋体" w:hAnsi="宋体"/>
          <w:b/>
          <w:bCs/>
          <w:color w:val="000000"/>
          <w:sz w:val="48"/>
          <w:szCs w:val="48"/>
          <w:lang w:val="en-US" w:eastAsia="zh-CN"/>
        </w:rPr>
        <w:t>济宁商用车</w:t>
      </w:r>
      <w:r>
        <w:rPr>
          <w:rFonts w:hint="eastAsia" w:ascii="宋体" w:hAnsi="宋体"/>
          <w:b/>
          <w:bCs/>
          <w:color w:val="000000"/>
          <w:sz w:val="48"/>
          <w:szCs w:val="48"/>
        </w:rPr>
        <w:t>有限公司</w:t>
      </w:r>
    </w:p>
    <w:p w14:paraId="0350F282">
      <w:pPr>
        <w:jc w:val="center"/>
        <w:rPr>
          <w:rFonts w:hint="eastAsia" w:ascii="宋体" w:hAnsi="宋体"/>
          <w:sz w:val="48"/>
          <w:szCs w:val="48"/>
        </w:rPr>
      </w:pPr>
      <w:r>
        <w:rPr>
          <w:rFonts w:hint="eastAsia" w:ascii="宋体" w:hAnsi="宋体"/>
          <w:b/>
          <w:bCs/>
          <w:color w:val="000000"/>
          <w:sz w:val="48"/>
          <w:szCs w:val="48"/>
          <w:lang w:val="en-US" w:eastAsia="zh-CN"/>
        </w:rPr>
        <w:t>东门移动源门禁系统升级</w:t>
      </w:r>
      <w:r>
        <w:rPr>
          <w:rFonts w:hint="eastAsia" w:ascii="宋体" w:hAnsi="宋体"/>
          <w:b/>
          <w:bCs/>
          <w:color w:val="000000"/>
          <w:sz w:val="48"/>
          <w:szCs w:val="48"/>
        </w:rPr>
        <w:t>项目</w:t>
      </w:r>
    </w:p>
    <w:p w14:paraId="3C321290">
      <w:pPr>
        <w:jc w:val="center"/>
        <w:rPr>
          <w:rFonts w:hint="eastAsia" w:ascii="宋体" w:hAnsi="宋体"/>
          <w:sz w:val="48"/>
          <w:szCs w:val="48"/>
        </w:rPr>
      </w:pPr>
    </w:p>
    <w:p w14:paraId="53EA7AA3">
      <w:pPr>
        <w:ind w:right="280"/>
        <w:jc w:val="center"/>
        <w:rPr>
          <w:sz w:val="28"/>
          <w:szCs w:val="28"/>
        </w:rPr>
      </w:pPr>
      <w:r>
        <w:rPr>
          <w:rFonts w:hint="eastAsia" w:ascii="黑体" w:hAnsi="宋体" w:eastAsia="黑体"/>
          <w:sz w:val="84"/>
          <w:szCs w:val="84"/>
        </w:rPr>
        <w:t xml:space="preserve"> 招</w:t>
      </w:r>
    </w:p>
    <w:p w14:paraId="7E1EB2B9">
      <w:pPr>
        <w:jc w:val="center"/>
        <w:rPr>
          <w:rFonts w:ascii="黑体" w:hAnsi="宋体" w:eastAsia="黑体"/>
          <w:sz w:val="84"/>
          <w:szCs w:val="84"/>
        </w:rPr>
      </w:pPr>
    </w:p>
    <w:p w14:paraId="18077C91">
      <w:pPr>
        <w:jc w:val="center"/>
        <w:rPr>
          <w:rFonts w:ascii="黑体" w:hAnsi="宋体" w:eastAsia="黑体"/>
          <w:sz w:val="84"/>
          <w:szCs w:val="84"/>
        </w:rPr>
      </w:pPr>
      <w:r>
        <w:rPr>
          <w:rFonts w:hint="eastAsia" w:ascii="黑体" w:hAnsi="宋体" w:eastAsia="黑体"/>
          <w:sz w:val="84"/>
          <w:szCs w:val="84"/>
        </w:rPr>
        <w:t>标</w:t>
      </w:r>
    </w:p>
    <w:p w14:paraId="6CA5C831">
      <w:pPr>
        <w:jc w:val="center"/>
        <w:rPr>
          <w:rFonts w:ascii="黑体" w:hAnsi="宋体" w:eastAsia="黑体"/>
          <w:sz w:val="84"/>
          <w:szCs w:val="84"/>
        </w:rPr>
      </w:pPr>
    </w:p>
    <w:p w14:paraId="18B0013A">
      <w:pPr>
        <w:jc w:val="center"/>
        <w:rPr>
          <w:rFonts w:ascii="宋体" w:hAnsi="宋体"/>
          <w:sz w:val="72"/>
          <w:szCs w:val="72"/>
        </w:rPr>
      </w:pPr>
      <w:r>
        <w:rPr>
          <w:rFonts w:hint="eastAsia" w:ascii="黑体" w:hAnsi="宋体" w:eastAsia="黑体"/>
          <w:sz w:val="84"/>
          <w:szCs w:val="84"/>
        </w:rPr>
        <w:t>书</w:t>
      </w:r>
    </w:p>
    <w:p w14:paraId="459BF579">
      <w:pPr>
        <w:rPr>
          <w:rFonts w:ascii="宋体" w:hAnsi="宋体"/>
          <w:sz w:val="28"/>
          <w:szCs w:val="28"/>
        </w:rPr>
      </w:pPr>
      <w:r>
        <w:rPr>
          <w:rFonts w:hint="eastAsia" w:ascii="宋体" w:hAnsi="宋体"/>
          <w:sz w:val="28"/>
          <w:szCs w:val="28"/>
        </w:rPr>
        <w:t xml:space="preserve">        </w:t>
      </w:r>
    </w:p>
    <w:p w14:paraId="5B4A40BA">
      <w:pPr>
        <w:rPr>
          <w:rFonts w:ascii="宋体" w:hAnsi="宋体"/>
          <w:sz w:val="28"/>
          <w:szCs w:val="28"/>
        </w:rPr>
      </w:pPr>
    </w:p>
    <w:p w14:paraId="348386A6">
      <w:pPr>
        <w:jc w:val="center"/>
        <w:rPr>
          <w:rFonts w:hint="eastAsia" w:ascii="宋体" w:hAnsi="宋体"/>
          <w:sz w:val="28"/>
          <w:szCs w:val="28"/>
        </w:rPr>
      </w:pPr>
    </w:p>
    <w:p w14:paraId="42C28BAB">
      <w:pPr>
        <w:jc w:val="center"/>
        <w:rPr>
          <w:rFonts w:hint="eastAsia" w:ascii="宋体" w:hAnsi="宋体"/>
          <w:sz w:val="28"/>
          <w:szCs w:val="28"/>
        </w:rPr>
      </w:pPr>
    </w:p>
    <w:p w14:paraId="38904882">
      <w:pPr>
        <w:jc w:val="center"/>
        <w:rPr>
          <w:rFonts w:hint="eastAsia" w:ascii="宋体" w:hAnsi="宋体"/>
          <w:sz w:val="28"/>
          <w:szCs w:val="28"/>
        </w:rPr>
      </w:pPr>
      <w:r>
        <w:rPr>
          <w:rFonts w:hint="eastAsia" w:ascii="宋体" w:hAnsi="宋体"/>
          <w:sz w:val="28"/>
          <w:szCs w:val="28"/>
        </w:rPr>
        <w:t>202</w:t>
      </w:r>
      <w:r>
        <w:rPr>
          <w:rFonts w:hint="eastAsia" w:ascii="宋体" w:hAnsi="宋体"/>
          <w:sz w:val="28"/>
          <w:szCs w:val="28"/>
          <w:lang w:val="en-US" w:eastAsia="zh-CN"/>
        </w:rPr>
        <w:t>4</w:t>
      </w:r>
      <w:r>
        <w:rPr>
          <w:rFonts w:hint="eastAsia" w:ascii="宋体" w:hAnsi="宋体"/>
          <w:sz w:val="28"/>
          <w:szCs w:val="28"/>
        </w:rPr>
        <w:t>年0</w:t>
      </w:r>
      <w:r>
        <w:rPr>
          <w:rFonts w:hint="eastAsia" w:ascii="宋体" w:hAnsi="宋体"/>
          <w:sz w:val="28"/>
          <w:szCs w:val="28"/>
          <w:lang w:val="en-US" w:eastAsia="zh-CN"/>
        </w:rPr>
        <w:t>9</w:t>
      </w:r>
      <w:r>
        <w:rPr>
          <w:rFonts w:hint="eastAsia" w:ascii="宋体" w:hAnsi="宋体"/>
          <w:sz w:val="28"/>
          <w:szCs w:val="28"/>
        </w:rPr>
        <w:t>月</w:t>
      </w:r>
    </w:p>
    <w:p w14:paraId="0B2116EE">
      <w:pPr>
        <w:spacing w:line="480" w:lineRule="auto"/>
        <w:jc w:val="center"/>
        <w:rPr>
          <w:rFonts w:hint="eastAsia" w:ascii="宋体" w:hAnsi="宋体"/>
          <w:sz w:val="28"/>
          <w:szCs w:val="28"/>
        </w:rPr>
      </w:pPr>
    </w:p>
    <w:p w14:paraId="65EE01FD">
      <w:pPr>
        <w:spacing w:line="480" w:lineRule="auto"/>
        <w:jc w:val="center"/>
        <w:rPr>
          <w:rFonts w:ascii="宋体" w:hAnsi="宋体"/>
          <w:b/>
          <w:bCs/>
          <w:sz w:val="48"/>
          <w:szCs w:val="48"/>
        </w:rPr>
      </w:pPr>
      <w:r>
        <w:rPr>
          <w:rFonts w:ascii="宋体" w:hAnsi="宋体"/>
          <w:b/>
          <w:bCs/>
          <w:sz w:val="48"/>
          <w:szCs w:val="48"/>
        </w:rPr>
        <w:t>目   录</w:t>
      </w:r>
    </w:p>
    <w:p w14:paraId="26CB9191">
      <w:pPr>
        <w:tabs>
          <w:tab w:val="left" w:pos="3240"/>
        </w:tabs>
        <w:spacing w:line="480" w:lineRule="auto"/>
        <w:rPr>
          <w:rFonts w:ascii="宋体" w:hAnsi="宋体"/>
          <w:b/>
          <w:bCs/>
          <w:sz w:val="24"/>
        </w:rPr>
      </w:pPr>
      <w:r>
        <w:rPr>
          <w:rFonts w:ascii="宋体" w:hAnsi="宋体"/>
          <w:b/>
          <w:bCs/>
          <w:sz w:val="24"/>
        </w:rPr>
        <w:tab/>
      </w:r>
    </w:p>
    <w:p w14:paraId="2CDE616F">
      <w:pPr>
        <w:tabs>
          <w:tab w:val="left" w:pos="3240"/>
        </w:tabs>
        <w:spacing w:line="480" w:lineRule="auto"/>
        <w:rPr>
          <w:rFonts w:ascii="宋体" w:hAnsi="宋体"/>
          <w:b/>
          <w:bCs/>
          <w:sz w:val="24"/>
        </w:rPr>
      </w:pPr>
    </w:p>
    <w:p w14:paraId="1AB8AF74">
      <w:pPr>
        <w:tabs>
          <w:tab w:val="left" w:pos="3240"/>
        </w:tabs>
        <w:spacing w:line="480" w:lineRule="auto"/>
        <w:rPr>
          <w:rFonts w:ascii="宋体" w:hAnsi="宋体"/>
          <w:b/>
          <w:bCs/>
          <w:sz w:val="24"/>
        </w:rPr>
      </w:pPr>
    </w:p>
    <w:p w14:paraId="37E44999">
      <w:pPr>
        <w:pStyle w:val="10"/>
        <w:rPr>
          <w:color w:val="auto"/>
        </w:rPr>
      </w:pPr>
      <w:r>
        <w:rPr>
          <w:sz w:val="24"/>
        </w:rPr>
        <w:fldChar w:fldCharType="begin"/>
      </w:r>
      <w:r>
        <w:rPr>
          <w:sz w:val="24"/>
        </w:rPr>
        <w:instrText xml:space="preserve"> TOC \o "1-2" \h \z </w:instrText>
      </w:r>
      <w:r>
        <w:rPr>
          <w:sz w:val="24"/>
        </w:rPr>
        <w:fldChar w:fldCharType="separate"/>
      </w:r>
      <w:r>
        <w:fldChar w:fldCharType="begin"/>
      </w:r>
      <w:r>
        <w:instrText xml:space="preserve"> HYPERLINK \l "_Toc357155294" </w:instrText>
      </w:r>
      <w:r>
        <w:fldChar w:fldCharType="separate"/>
      </w:r>
      <w:r>
        <w:rPr>
          <w:rStyle w:val="16"/>
          <w:rFonts w:hint="eastAsia"/>
          <w:color w:val="auto"/>
          <w:sz w:val="28"/>
          <w:szCs w:val="28"/>
        </w:rPr>
        <w:t>第一章</w:t>
      </w:r>
      <w:r>
        <w:rPr>
          <w:rStyle w:val="16"/>
          <w:color w:val="auto"/>
          <w:sz w:val="28"/>
          <w:szCs w:val="28"/>
        </w:rPr>
        <w:t xml:space="preserve">  </w:t>
      </w:r>
      <w:r>
        <w:rPr>
          <w:rStyle w:val="16"/>
          <w:rFonts w:hint="eastAsia"/>
          <w:color w:val="auto"/>
          <w:sz w:val="28"/>
          <w:szCs w:val="28"/>
        </w:rPr>
        <w:t>招标文件-----------------------------------------</w:t>
      </w:r>
      <w:r>
        <w:rPr>
          <w:rFonts w:hint="eastAsia"/>
          <w:color w:val="auto"/>
        </w:rPr>
        <w:t>2</w:t>
      </w:r>
      <w:r>
        <w:rPr>
          <w:rFonts w:hint="eastAsia"/>
          <w:color w:val="auto"/>
        </w:rPr>
        <w:fldChar w:fldCharType="end"/>
      </w:r>
    </w:p>
    <w:p w14:paraId="2ECFD638">
      <w:pPr>
        <w:pStyle w:val="10"/>
        <w:rPr>
          <w:color w:val="auto"/>
        </w:rPr>
      </w:pPr>
    </w:p>
    <w:p w14:paraId="6E04978B">
      <w:pPr>
        <w:pStyle w:val="10"/>
        <w:rPr>
          <w:rFonts w:hint="eastAsia" w:eastAsia="宋体"/>
          <w:color w:val="auto"/>
          <w:lang w:val="en-US" w:eastAsia="zh-CN"/>
        </w:rPr>
      </w:pPr>
      <w:r>
        <w:fldChar w:fldCharType="end"/>
      </w:r>
      <w:r>
        <w:fldChar w:fldCharType="begin"/>
      </w:r>
      <w:r>
        <w:instrText xml:space="preserve"> HYPERLINK \l "_Toc357155295" </w:instrText>
      </w:r>
      <w:r>
        <w:fldChar w:fldCharType="separate"/>
      </w:r>
      <w:r>
        <w:rPr>
          <w:rStyle w:val="16"/>
          <w:rFonts w:hint="eastAsia"/>
          <w:color w:val="auto"/>
          <w:sz w:val="28"/>
          <w:szCs w:val="28"/>
        </w:rPr>
        <w:t>第</w:t>
      </w:r>
      <w:r>
        <w:rPr>
          <w:rStyle w:val="16"/>
          <w:rFonts w:hint="eastAsia"/>
          <w:color w:val="auto"/>
          <w:sz w:val="28"/>
          <w:szCs w:val="28"/>
          <w:lang w:val="en-US" w:eastAsia="zh-CN"/>
        </w:rPr>
        <w:t>二</w:t>
      </w:r>
      <w:r>
        <w:rPr>
          <w:rStyle w:val="16"/>
          <w:rFonts w:hint="eastAsia"/>
          <w:color w:val="auto"/>
          <w:sz w:val="28"/>
          <w:szCs w:val="28"/>
        </w:rPr>
        <w:t>章</w:t>
      </w:r>
      <w:r>
        <w:rPr>
          <w:rStyle w:val="16"/>
          <w:color w:val="auto"/>
          <w:sz w:val="28"/>
          <w:szCs w:val="28"/>
        </w:rPr>
        <w:t xml:space="preserve">  </w:t>
      </w:r>
      <w:r>
        <w:rPr>
          <w:rStyle w:val="16"/>
          <w:rFonts w:hint="eastAsia"/>
          <w:color w:val="auto"/>
          <w:sz w:val="28"/>
          <w:szCs w:val="28"/>
        </w:rPr>
        <w:t>重汽</w:t>
      </w:r>
      <w:r>
        <w:rPr>
          <w:rStyle w:val="16"/>
          <w:rFonts w:hint="eastAsia"/>
          <w:color w:val="auto"/>
          <w:sz w:val="28"/>
          <w:szCs w:val="28"/>
          <w:lang w:val="en-US" w:eastAsia="zh-CN"/>
        </w:rPr>
        <w:t>e采</w:t>
      </w:r>
      <w:r>
        <w:rPr>
          <w:rStyle w:val="16"/>
          <w:rFonts w:hint="eastAsia"/>
          <w:color w:val="auto"/>
          <w:sz w:val="28"/>
          <w:szCs w:val="28"/>
        </w:rPr>
        <w:t>通供应商使用说明-------------------------</w:t>
      </w:r>
      <w:r>
        <w:rPr>
          <w:rFonts w:hint="eastAsia"/>
          <w:color w:val="auto"/>
          <w:lang w:val="en-US" w:eastAsia="zh-CN"/>
        </w:rPr>
        <w:t>1</w:t>
      </w:r>
      <w:r>
        <w:rPr>
          <w:rFonts w:hint="eastAsia"/>
          <w:color w:val="auto"/>
        </w:rPr>
        <w:fldChar w:fldCharType="end"/>
      </w:r>
      <w:r>
        <w:rPr>
          <w:rFonts w:hint="eastAsia"/>
          <w:color w:val="auto"/>
          <w:lang w:val="en-US" w:eastAsia="zh-CN"/>
        </w:rPr>
        <w:t>5</w:t>
      </w:r>
    </w:p>
    <w:p w14:paraId="076B55C4">
      <w:pPr>
        <w:pStyle w:val="7"/>
        <w:spacing w:line="360" w:lineRule="auto"/>
        <w:jc w:val="center"/>
      </w:pPr>
    </w:p>
    <w:p w14:paraId="2DE06456">
      <w:pPr>
        <w:pStyle w:val="7"/>
        <w:spacing w:line="360" w:lineRule="auto"/>
        <w:jc w:val="center"/>
        <w:rPr>
          <w:rFonts w:hint="eastAsia"/>
        </w:rPr>
      </w:pPr>
    </w:p>
    <w:p w14:paraId="126B7CAF">
      <w:pPr>
        <w:pStyle w:val="7"/>
        <w:spacing w:line="360" w:lineRule="auto"/>
        <w:jc w:val="center"/>
        <w:rPr>
          <w:rFonts w:hint="eastAsia"/>
        </w:rPr>
      </w:pPr>
    </w:p>
    <w:p w14:paraId="67594AB0">
      <w:pPr>
        <w:pStyle w:val="7"/>
        <w:spacing w:line="360" w:lineRule="auto"/>
        <w:jc w:val="center"/>
      </w:pPr>
    </w:p>
    <w:p w14:paraId="17DF20FC">
      <w:pPr>
        <w:pStyle w:val="7"/>
        <w:spacing w:line="360" w:lineRule="auto"/>
        <w:jc w:val="center"/>
      </w:pPr>
    </w:p>
    <w:p w14:paraId="2D82F549">
      <w:pPr>
        <w:pStyle w:val="7"/>
        <w:spacing w:line="360" w:lineRule="auto"/>
        <w:jc w:val="center"/>
      </w:pPr>
    </w:p>
    <w:p w14:paraId="39A18B1F">
      <w:pPr>
        <w:pStyle w:val="7"/>
        <w:spacing w:line="360" w:lineRule="auto"/>
        <w:jc w:val="center"/>
      </w:pPr>
    </w:p>
    <w:p w14:paraId="5061DCC8">
      <w:pPr>
        <w:pStyle w:val="7"/>
        <w:spacing w:line="360" w:lineRule="auto"/>
        <w:jc w:val="center"/>
      </w:pPr>
    </w:p>
    <w:p w14:paraId="609F03F8">
      <w:pPr>
        <w:pStyle w:val="7"/>
        <w:spacing w:line="360" w:lineRule="auto"/>
        <w:jc w:val="center"/>
      </w:pPr>
    </w:p>
    <w:p w14:paraId="37B39D14">
      <w:pPr>
        <w:pStyle w:val="7"/>
        <w:spacing w:line="360" w:lineRule="auto"/>
        <w:jc w:val="center"/>
      </w:pPr>
    </w:p>
    <w:p w14:paraId="2301DC36">
      <w:pPr>
        <w:pStyle w:val="7"/>
        <w:spacing w:line="360" w:lineRule="auto"/>
        <w:jc w:val="center"/>
      </w:pPr>
    </w:p>
    <w:p w14:paraId="6E83DD1E">
      <w:pPr>
        <w:pStyle w:val="7"/>
        <w:spacing w:line="360" w:lineRule="auto"/>
        <w:jc w:val="center"/>
      </w:pPr>
    </w:p>
    <w:p w14:paraId="7F8793B2">
      <w:pPr>
        <w:pStyle w:val="7"/>
        <w:spacing w:line="360" w:lineRule="auto"/>
        <w:jc w:val="center"/>
      </w:pPr>
    </w:p>
    <w:p w14:paraId="584D6C18">
      <w:pPr>
        <w:pStyle w:val="7"/>
        <w:spacing w:line="360" w:lineRule="auto"/>
        <w:jc w:val="center"/>
      </w:pPr>
    </w:p>
    <w:p w14:paraId="36B2194D">
      <w:pPr>
        <w:pStyle w:val="7"/>
        <w:spacing w:line="360" w:lineRule="auto"/>
        <w:jc w:val="center"/>
      </w:pPr>
    </w:p>
    <w:p w14:paraId="26BB9E8D">
      <w:pPr>
        <w:pStyle w:val="7"/>
        <w:spacing w:line="360" w:lineRule="auto"/>
        <w:jc w:val="center"/>
      </w:pPr>
    </w:p>
    <w:p w14:paraId="6F22FB1F">
      <w:pPr>
        <w:pStyle w:val="7"/>
        <w:spacing w:line="360" w:lineRule="auto"/>
        <w:jc w:val="center"/>
      </w:pPr>
    </w:p>
    <w:p w14:paraId="055CED56">
      <w:pPr>
        <w:pStyle w:val="7"/>
        <w:spacing w:line="360" w:lineRule="auto"/>
        <w:jc w:val="center"/>
        <w:rPr>
          <w:rFonts w:hint="eastAsia"/>
        </w:rPr>
      </w:pPr>
    </w:p>
    <w:p w14:paraId="41003705">
      <w:pPr>
        <w:pStyle w:val="7"/>
        <w:spacing w:line="360" w:lineRule="auto"/>
        <w:rPr>
          <w:rFonts w:hint="eastAsia"/>
        </w:rPr>
      </w:pPr>
    </w:p>
    <w:p w14:paraId="77E792A5">
      <w:pPr>
        <w:pStyle w:val="7"/>
        <w:spacing w:line="360" w:lineRule="auto"/>
      </w:pPr>
    </w:p>
    <w:p w14:paraId="339FDB48">
      <w:pPr>
        <w:pStyle w:val="7"/>
        <w:spacing w:line="360" w:lineRule="auto"/>
        <w:jc w:val="center"/>
        <w:rPr>
          <w:rFonts w:ascii="黑体" w:eastAsia="黑体"/>
          <w:b/>
          <w:bCs/>
          <w:sz w:val="36"/>
          <w:szCs w:val="36"/>
        </w:rPr>
      </w:pPr>
      <w:r>
        <w:rPr>
          <w:rFonts w:hint="eastAsia" w:ascii="黑体" w:eastAsia="黑体"/>
          <w:b/>
          <w:bCs/>
          <w:sz w:val="36"/>
          <w:szCs w:val="36"/>
        </w:rPr>
        <w:t>第一章 招标文件</w:t>
      </w:r>
    </w:p>
    <w:p w14:paraId="3088D142">
      <w:pPr>
        <w:pStyle w:val="7"/>
        <w:spacing w:line="360" w:lineRule="auto"/>
        <w:rPr>
          <w:rFonts w:ascii="黑体" w:eastAsia="黑体"/>
          <w:b/>
          <w:bCs/>
          <w:sz w:val="28"/>
        </w:rPr>
      </w:pPr>
      <w:r>
        <w:rPr>
          <w:rFonts w:hint="eastAsia" w:ascii="黑体" w:eastAsia="黑体"/>
          <w:b/>
          <w:bCs/>
          <w:sz w:val="28"/>
        </w:rPr>
        <w:t>一、项目名称</w:t>
      </w:r>
    </w:p>
    <w:p w14:paraId="62DB0587">
      <w:pPr>
        <w:pStyle w:val="7"/>
        <w:spacing w:line="360" w:lineRule="auto"/>
        <w:ind w:left="420"/>
        <w:rPr>
          <w:color w:val="000000"/>
        </w:rPr>
      </w:pPr>
      <w:bookmarkStart w:id="0" w:name="OLE_LINK1"/>
      <w:r>
        <w:rPr>
          <w:rFonts w:hint="eastAsia"/>
          <w:color w:val="000000"/>
        </w:rPr>
        <w:t>项目名称：</w:t>
      </w:r>
      <w:r>
        <w:rPr>
          <w:rFonts w:hint="eastAsia"/>
          <w:color w:val="000000"/>
          <w:lang w:val="en-US" w:eastAsia="zh-CN"/>
        </w:rPr>
        <w:t>东门移动源门禁系统升级</w:t>
      </w:r>
    </w:p>
    <w:bookmarkEnd w:id="0"/>
    <w:p w14:paraId="016F2F21">
      <w:pPr>
        <w:pStyle w:val="7"/>
        <w:spacing w:line="360" w:lineRule="auto"/>
        <w:rPr>
          <w:rFonts w:ascii="黑体" w:eastAsia="黑体"/>
          <w:b/>
          <w:bCs/>
          <w:sz w:val="28"/>
        </w:rPr>
      </w:pPr>
      <w:r>
        <w:rPr>
          <w:rFonts w:hint="eastAsia" w:ascii="黑体" w:eastAsia="黑体"/>
          <w:b/>
          <w:bCs/>
          <w:sz w:val="28"/>
        </w:rPr>
        <w:t>二、招标内容及形式</w:t>
      </w:r>
    </w:p>
    <w:p w14:paraId="4C7976EB">
      <w:pPr>
        <w:pStyle w:val="7"/>
        <w:spacing w:line="360" w:lineRule="auto"/>
        <w:ind w:firstLine="420" w:firstLineChars="200"/>
        <w:rPr>
          <w:rFonts w:hint="eastAsia"/>
          <w:color w:val="000000"/>
          <w:lang w:val="en-US" w:eastAsia="zh-CN"/>
        </w:rPr>
      </w:pPr>
      <w:r>
        <w:rPr>
          <w:rFonts w:hint="eastAsia"/>
          <w:color w:val="000000"/>
        </w:rPr>
        <w:t>招标内容：中国重汽集团</w:t>
      </w:r>
      <w:r>
        <w:rPr>
          <w:rFonts w:hint="eastAsia"/>
          <w:color w:val="000000"/>
          <w:lang w:val="en-US" w:eastAsia="zh-CN"/>
        </w:rPr>
        <w:t>济宁商用车</w:t>
      </w:r>
      <w:r>
        <w:rPr>
          <w:rFonts w:hint="eastAsia"/>
          <w:color w:val="000000"/>
        </w:rPr>
        <w:t>有限公司</w:t>
      </w:r>
      <w:r>
        <w:rPr>
          <w:rFonts w:hint="eastAsia"/>
          <w:color w:val="000000"/>
          <w:lang w:val="en-US" w:eastAsia="zh-CN"/>
        </w:rPr>
        <w:t>移动源门禁系统及硬件配套设施；</w:t>
      </w:r>
    </w:p>
    <w:tbl>
      <w:tblPr>
        <w:tblStyle w:val="1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5"/>
        <w:gridCol w:w="1329"/>
        <w:gridCol w:w="1100"/>
        <w:gridCol w:w="5100"/>
        <w:gridCol w:w="1095"/>
      </w:tblGrid>
      <w:tr w14:paraId="4F4C3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2E5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299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物资/设备/...名称</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4A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ABB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具体参数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（规格型号的描述）</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114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r>
      <w:tr w14:paraId="5FCCE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D29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E54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车牌识别一体机</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CE8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臻识定制</w:t>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8A7A2">
            <w:pPr>
              <w:keepNext w:val="0"/>
              <w:keepLines w:val="0"/>
              <w:widowControl/>
              <w:suppressLineNumbers w:val="0"/>
              <w:jc w:val="left"/>
              <w:textAlignment w:val="center"/>
              <w:rPr>
                <w:rFonts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联动高位抓拍匹配的SDK及相应的API</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xml:space="preserve">分辨率1280×720  号牌颜色和车牌号码识别率：≥99.9%， 像素500万 。  支持抓拍车头、车牌。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xml:space="preserve">支持识别：普通蓝牌、单双层黄牌，新能源，单双层警车，新武警，单双层军牌，新使馆，教练车，港澳进出大陆车牌，应急车牌，名航，特殊车牌等。对抓拍系统不能识别的车辆和非道路移动机械，应采用人工方式补录。    补光灯：夜间补光提高识别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外壳：采用镀锌钢材料，表面抛光打磨，高温金属粉烤漆，经久耐用，不易生锈，不褪色，可在户外恶劣环境中长期使用。工业级控制器设计，表面三防漆处理，防潮防尘，输入输出电路均做隔离电路保护</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8E2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臻识定制</w:t>
            </w:r>
          </w:p>
        </w:tc>
      </w:tr>
      <w:tr w14:paraId="1FFAB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40B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49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运输管控预警信息显示屏</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214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0554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显示屏内容包括企业名称、企业负责人及联系电话，门禁及视频监控系统建设运维单位名称、单位负责人及联系电话，企业预警等级，当前响应等级下厂内外运输车辆和非道路移动机械管控措施等。</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写真LED显示屏；尺寸：1350*900mm；</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xml:space="preserve">据建设规范显示屏具备：提示万能语音，显示车牌号码，排放阶段，是否通行，禁行原因，进出时间，进出次数等信息。违规统计报警提示。   </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92D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r>
      <w:tr w14:paraId="769BD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ED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D7C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高点抓拍识别相机单元  </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676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臻识定制</w:t>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6A83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与识别相机高位抓拍匹配的SDK及相应的API。对进出厂车辆通行关键照片进行识别抓拍的功能</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9F8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臻识定制</w:t>
            </w:r>
          </w:p>
        </w:tc>
      </w:tr>
      <w:tr w14:paraId="77B6A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186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E3F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补光灯</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04D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988D6">
            <w:pPr>
              <w:jc w:val="left"/>
              <w:rPr>
                <w:rFonts w:hint="eastAsia" w:ascii="微软雅黑" w:hAnsi="微软雅黑" w:eastAsia="微软雅黑" w:cs="微软雅黑"/>
                <w:i w:val="0"/>
                <w:iCs w:val="0"/>
                <w:color w:val="000000"/>
                <w:sz w:val="20"/>
                <w:szCs w:val="20"/>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06C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r>
      <w:tr w14:paraId="36FFE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ED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500B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监控立杆/支架</w:t>
            </w:r>
            <w:r>
              <w:rPr>
                <w:rFonts w:hint="eastAsia" w:ascii="宋体" w:hAnsi="宋体" w:cs="宋体"/>
                <w:i w:val="0"/>
                <w:iCs w:val="0"/>
                <w:color w:val="000000"/>
                <w:kern w:val="0"/>
                <w:sz w:val="20"/>
                <w:szCs w:val="20"/>
                <w:u w:val="none"/>
                <w:lang w:val="en-US" w:eastAsia="zh-CN" w:bidi="ar"/>
              </w:rPr>
              <w:t>2个</w:t>
            </w:r>
            <w:bookmarkStart w:id="1" w:name="_GoBack"/>
            <w:bookmarkEnd w:id="1"/>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177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4670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四米高杆</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186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r>
      <w:tr w14:paraId="61F68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7"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DAD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063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专用环保门禁电子台账管控系统</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BEA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定制开发</w:t>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6E38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符合《重点行业移动监管与核查技术指南》软件功能要求。 1、具有对企业基本信息、道闸信息、视频监控设备信息、车辆信息、运输管理信息等信息进行维护管理功能。 2、应具备接收/查看监管系统下发排放超标车辆、重污染预警和响应提示信息、管控策略提示信息和违规通行车辆等信息功能。   3、具备车辆信息采集审核和校验功能。车辆信息实时采集、本地保存。                                                     4、具备识别和判定进出厂车辆是否符合管控策略和是否属于排放超标车辆的功能的功能，并控制道闸放行和禁行。   5、具备下发显示屏管控状态、车辆信息。通过出入口显示屏提示当前管控状态、车牌号码、排放标准、通行或禁行提示、进出时间、禁行原因等。                                               6、手动起杆自动录制视频并单独保存或调取。断电/网自动重传 7、企业应建立完整的运输车/厂内运输车辆电子台账/非道路移动机械电子台账。                           8、具备车辆信息组合查询，汇总统计，排放比例上传率图形展示        </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BF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定制开发</w:t>
            </w:r>
          </w:p>
        </w:tc>
      </w:tr>
      <w:tr w14:paraId="06BDE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31E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DD60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手动抬杆模块</w:t>
            </w:r>
            <w:r>
              <w:rPr>
                <w:rFonts w:hint="eastAsia" w:ascii="宋体" w:hAnsi="宋体" w:cs="宋体"/>
                <w:i w:val="0"/>
                <w:iCs w:val="0"/>
                <w:color w:val="000000"/>
                <w:kern w:val="0"/>
                <w:sz w:val="20"/>
                <w:szCs w:val="20"/>
                <w:u w:val="none"/>
                <w:lang w:val="en-US" w:eastAsia="zh-CN" w:bidi="ar"/>
              </w:rPr>
              <w:t>2个</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A5E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FA41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手动抬杆联动视频系统，形成手动抬杆时间信息记录</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78B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r>
      <w:tr w14:paraId="718F2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CD4C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9</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6C86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4T内存电脑</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CB4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CCD32">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61D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14F1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3"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3EF4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436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施工安装</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8150F">
            <w:pPr>
              <w:rPr>
                <w:rFonts w:hint="eastAsia" w:ascii="宋体" w:hAnsi="宋体" w:eastAsia="宋体" w:cs="宋体"/>
                <w:i w:val="0"/>
                <w:iCs w:val="0"/>
                <w:color w:val="000000"/>
                <w:sz w:val="22"/>
                <w:szCs w:val="22"/>
                <w:u w:val="none"/>
              </w:rPr>
            </w:pPr>
          </w:p>
        </w:tc>
        <w:tc>
          <w:tcPr>
            <w:tcW w:w="2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2831">
            <w:pPr>
              <w:rPr>
                <w:rFonts w:hint="eastAsia" w:ascii="宋体" w:hAnsi="宋体" w:eastAsia="宋体" w:cs="宋体"/>
                <w:i w:val="0"/>
                <w:iCs w:val="0"/>
                <w:color w:val="000000"/>
                <w:sz w:val="22"/>
                <w:szCs w:val="22"/>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C21C0">
            <w:pPr>
              <w:jc w:val="center"/>
              <w:rPr>
                <w:rFonts w:hint="eastAsia" w:ascii="宋体" w:hAnsi="宋体" w:eastAsia="宋体" w:cs="宋体"/>
                <w:i w:val="0"/>
                <w:iCs w:val="0"/>
                <w:color w:val="000000"/>
                <w:sz w:val="22"/>
                <w:szCs w:val="22"/>
                <w:u w:val="none"/>
              </w:rPr>
            </w:pPr>
          </w:p>
        </w:tc>
      </w:tr>
    </w:tbl>
    <w:p w14:paraId="5C599BB5">
      <w:pPr>
        <w:pStyle w:val="7"/>
        <w:spacing w:line="360" w:lineRule="auto"/>
        <w:ind w:firstLine="420" w:firstLineChars="200"/>
        <w:rPr>
          <w:color w:val="000000"/>
        </w:rPr>
      </w:pPr>
      <w:r>
        <w:rPr>
          <w:rFonts w:hint="eastAsia"/>
          <w:color w:val="000000"/>
        </w:rPr>
        <w:t>招标形式：</w:t>
      </w:r>
      <w:r>
        <w:rPr>
          <w:rFonts w:hint="eastAsia"/>
          <w:highlight w:val="none"/>
          <w:lang w:val="en-US" w:eastAsia="zh-CN"/>
        </w:rPr>
        <w:t>公开招标</w:t>
      </w:r>
      <w:r>
        <w:rPr>
          <w:rFonts w:hint="eastAsia"/>
        </w:rPr>
        <w:t>。</w:t>
      </w:r>
    </w:p>
    <w:p w14:paraId="289C8A1A">
      <w:pPr>
        <w:pStyle w:val="7"/>
        <w:spacing w:line="360" w:lineRule="auto"/>
        <w:rPr>
          <w:rFonts w:ascii="黑体" w:eastAsia="黑体"/>
          <w:b/>
          <w:bCs/>
          <w:sz w:val="28"/>
        </w:rPr>
      </w:pPr>
      <w:r>
        <w:rPr>
          <w:rFonts w:hint="eastAsia" w:ascii="黑体" w:eastAsia="黑体"/>
          <w:b/>
          <w:bCs/>
          <w:sz w:val="28"/>
        </w:rPr>
        <w:t>三、交货及付款</w:t>
      </w:r>
    </w:p>
    <w:p w14:paraId="408C8DA5">
      <w:pPr>
        <w:pStyle w:val="7"/>
        <w:spacing w:line="360" w:lineRule="auto"/>
        <w:ind w:firstLine="420" w:firstLineChars="200"/>
        <w:rPr>
          <w:rFonts w:hint="eastAsia"/>
          <w:color w:val="000000"/>
        </w:rPr>
      </w:pPr>
      <w:r>
        <w:rPr>
          <w:rFonts w:hint="eastAsia"/>
          <w:color w:val="000000"/>
        </w:rPr>
        <w:t>1、交货</w:t>
      </w:r>
      <w:r>
        <w:rPr>
          <w:rFonts w:hint="eastAsia"/>
          <w:color w:val="000000"/>
          <w:lang w:val="en-US" w:eastAsia="zh-CN"/>
        </w:rPr>
        <w:t>期</w:t>
      </w:r>
      <w:r>
        <w:rPr>
          <w:rFonts w:hint="eastAsia"/>
          <w:color w:val="000000"/>
        </w:rPr>
        <w:t>：自合同签定生效之日起，</w:t>
      </w:r>
      <w:r>
        <w:rPr>
          <w:rFonts w:hint="eastAsia"/>
          <w:color w:val="000000"/>
          <w:lang w:val="en-US" w:eastAsia="zh-CN"/>
        </w:rPr>
        <w:t>5</w:t>
      </w:r>
      <w:r>
        <w:rPr>
          <w:rFonts w:hint="eastAsia"/>
          <w:color w:val="000000"/>
        </w:rPr>
        <w:t>个日历日之内设备交货至供货地点；接续</w:t>
      </w:r>
      <w:r>
        <w:rPr>
          <w:rFonts w:hint="eastAsia"/>
          <w:color w:val="000000"/>
          <w:lang w:val="en-US" w:eastAsia="zh-CN"/>
        </w:rPr>
        <w:t>2</w:t>
      </w:r>
      <w:r>
        <w:rPr>
          <w:rFonts w:hint="eastAsia"/>
          <w:color w:val="000000"/>
        </w:rPr>
        <w:t>个日历日之内安装调试完毕。</w:t>
      </w:r>
    </w:p>
    <w:p w14:paraId="64262C17">
      <w:pPr>
        <w:pStyle w:val="7"/>
        <w:spacing w:line="360" w:lineRule="auto"/>
        <w:ind w:firstLine="420" w:firstLineChars="200"/>
        <w:rPr>
          <w:rFonts w:hint="eastAsia"/>
          <w:color w:val="000000"/>
        </w:rPr>
      </w:pPr>
      <w:r>
        <w:rPr>
          <w:rFonts w:hint="eastAsia"/>
          <w:color w:val="000000"/>
        </w:rPr>
        <w:t>安装调试工期超过规定时间的，投标人应当随标书提供详细的工期计划</w:t>
      </w:r>
    </w:p>
    <w:p w14:paraId="697D14E3">
      <w:pPr>
        <w:pStyle w:val="7"/>
        <w:spacing w:line="360" w:lineRule="auto"/>
        <w:ind w:firstLine="420" w:firstLineChars="200"/>
        <w:rPr>
          <w:rFonts w:hint="eastAsia"/>
        </w:rPr>
      </w:pPr>
      <w:r>
        <w:rPr>
          <w:rFonts w:hint="eastAsia"/>
          <w:color w:val="000000"/>
        </w:rPr>
        <w:t>2、付款方式：半年期商业汇票支付</w:t>
      </w:r>
      <w:r>
        <w:rPr>
          <w:rFonts w:hint="eastAsia"/>
        </w:rPr>
        <w:t>。</w:t>
      </w:r>
    </w:p>
    <w:p w14:paraId="0FB1692C">
      <w:pPr>
        <w:pStyle w:val="7"/>
        <w:spacing w:line="360" w:lineRule="auto"/>
        <w:rPr>
          <w:rFonts w:hint="eastAsia" w:ascii="黑体" w:eastAsia="黑体"/>
          <w:b/>
          <w:bCs/>
          <w:sz w:val="28"/>
        </w:rPr>
      </w:pPr>
      <w:r>
        <w:rPr>
          <w:rFonts w:hint="eastAsia" w:ascii="黑体" w:eastAsia="黑体"/>
          <w:b/>
          <w:bCs/>
          <w:sz w:val="28"/>
        </w:rPr>
        <w:t>四、议程安排</w:t>
      </w:r>
    </w:p>
    <w:p w14:paraId="1B71DBAF">
      <w:pPr>
        <w:pStyle w:val="7"/>
        <w:spacing w:line="360" w:lineRule="auto"/>
        <w:ind w:firstLine="420" w:firstLineChars="200"/>
        <w:rPr>
          <w:szCs w:val="22"/>
        </w:rPr>
      </w:pPr>
      <w:r>
        <w:rPr>
          <w:rFonts w:hint="eastAsia"/>
          <w:szCs w:val="22"/>
        </w:rPr>
        <w:t>1.答疑时间：截止至20</w:t>
      </w:r>
      <w:r>
        <w:rPr>
          <w:szCs w:val="22"/>
        </w:rPr>
        <w:t>2</w:t>
      </w:r>
      <w:r>
        <w:rPr>
          <w:rFonts w:hint="eastAsia"/>
          <w:szCs w:val="22"/>
          <w:lang w:val="en-US" w:eastAsia="zh-CN"/>
        </w:rPr>
        <w:t>5</w:t>
      </w:r>
      <w:r>
        <w:rPr>
          <w:rFonts w:hint="eastAsia"/>
          <w:szCs w:val="22"/>
        </w:rPr>
        <w:t>年</w:t>
      </w:r>
      <w:r>
        <w:rPr>
          <w:rFonts w:hint="eastAsia"/>
          <w:szCs w:val="22"/>
          <w:lang w:val="en-US" w:eastAsia="zh-CN"/>
        </w:rPr>
        <w:t>6</w:t>
      </w:r>
      <w:r>
        <w:rPr>
          <w:rFonts w:hint="eastAsia"/>
          <w:szCs w:val="22"/>
        </w:rPr>
        <w:t>月</w:t>
      </w:r>
      <w:r>
        <w:rPr>
          <w:rFonts w:hint="eastAsia"/>
          <w:szCs w:val="22"/>
          <w:lang w:val="en-US" w:eastAsia="zh-CN"/>
        </w:rPr>
        <w:t>9</w:t>
      </w:r>
      <w:r>
        <w:rPr>
          <w:rFonts w:hint="eastAsia"/>
          <w:szCs w:val="22"/>
        </w:rPr>
        <w:t>日17点前。</w:t>
      </w:r>
    </w:p>
    <w:p w14:paraId="2E3F41F2">
      <w:pPr>
        <w:pStyle w:val="7"/>
        <w:spacing w:line="360" w:lineRule="auto"/>
        <w:ind w:firstLine="630" w:firstLineChars="300"/>
        <w:rPr>
          <w:szCs w:val="22"/>
        </w:rPr>
      </w:pPr>
      <w:r>
        <w:rPr>
          <w:rFonts w:hint="eastAsia"/>
          <w:szCs w:val="22"/>
        </w:rPr>
        <w:t>答疑方式：书面（或电话）答疑。</w:t>
      </w:r>
    </w:p>
    <w:p w14:paraId="26B88DBA">
      <w:pPr>
        <w:pStyle w:val="7"/>
        <w:spacing w:line="360" w:lineRule="auto"/>
        <w:ind w:firstLine="630" w:firstLineChars="300"/>
        <w:rPr>
          <w:rFonts w:hint="eastAsia" w:eastAsia="宋体"/>
          <w:szCs w:val="22"/>
          <w:lang w:val="en-US" w:eastAsia="zh-CN"/>
        </w:rPr>
      </w:pPr>
      <w:r>
        <w:rPr>
          <w:rFonts w:hint="eastAsia"/>
          <w:szCs w:val="22"/>
        </w:rPr>
        <w:t>答疑联系人：</w:t>
      </w:r>
      <w:r>
        <w:rPr>
          <w:rFonts w:hint="eastAsia"/>
          <w:szCs w:val="22"/>
          <w:lang w:val="en-US" w:eastAsia="zh-CN"/>
        </w:rPr>
        <w:t>崔浩然</w:t>
      </w:r>
    </w:p>
    <w:p w14:paraId="3402E9CD">
      <w:pPr>
        <w:pStyle w:val="7"/>
        <w:spacing w:line="360" w:lineRule="auto"/>
        <w:ind w:firstLine="630" w:firstLineChars="300"/>
        <w:rPr>
          <w:rFonts w:hint="default" w:eastAsia="宋体"/>
          <w:szCs w:val="22"/>
          <w:lang w:val="en-US" w:eastAsia="zh-CN"/>
        </w:rPr>
      </w:pPr>
      <w:r>
        <w:rPr>
          <w:rFonts w:hint="eastAsia"/>
          <w:szCs w:val="22"/>
        </w:rPr>
        <w:t>联系电话：</w:t>
      </w:r>
      <w:r>
        <w:rPr>
          <w:rFonts w:hint="eastAsia"/>
          <w:szCs w:val="22"/>
          <w:lang w:val="en-US" w:eastAsia="zh-CN"/>
        </w:rPr>
        <w:t>18865383050</w:t>
      </w:r>
    </w:p>
    <w:p w14:paraId="230FF814">
      <w:pPr>
        <w:pStyle w:val="7"/>
        <w:spacing w:line="360" w:lineRule="auto"/>
        <w:ind w:firstLine="420" w:firstLineChars="200"/>
        <w:rPr>
          <w:szCs w:val="22"/>
        </w:rPr>
      </w:pPr>
      <w:r>
        <w:rPr>
          <w:rFonts w:hint="eastAsia"/>
          <w:szCs w:val="22"/>
        </w:rPr>
        <w:t>2.开标时间：20</w:t>
      </w:r>
      <w:r>
        <w:rPr>
          <w:szCs w:val="22"/>
        </w:rPr>
        <w:t>2</w:t>
      </w:r>
      <w:r>
        <w:rPr>
          <w:rFonts w:hint="eastAsia"/>
          <w:szCs w:val="22"/>
          <w:lang w:val="en-US" w:eastAsia="zh-CN"/>
        </w:rPr>
        <w:t>5</w:t>
      </w:r>
      <w:r>
        <w:rPr>
          <w:rFonts w:hint="eastAsia"/>
          <w:szCs w:val="22"/>
        </w:rPr>
        <w:t>年</w:t>
      </w:r>
      <w:r>
        <w:rPr>
          <w:rFonts w:hint="eastAsia"/>
          <w:szCs w:val="22"/>
          <w:lang w:val="en-US" w:eastAsia="zh-CN"/>
        </w:rPr>
        <w:t>6</w:t>
      </w:r>
      <w:r>
        <w:rPr>
          <w:rFonts w:hint="eastAsia"/>
          <w:szCs w:val="22"/>
        </w:rPr>
        <w:t>月</w:t>
      </w:r>
      <w:r>
        <w:rPr>
          <w:rFonts w:hint="eastAsia"/>
          <w:szCs w:val="22"/>
          <w:lang w:val="en-US" w:eastAsia="zh-CN"/>
        </w:rPr>
        <w:t>10</w:t>
      </w:r>
      <w:r>
        <w:rPr>
          <w:rFonts w:hint="eastAsia"/>
          <w:szCs w:val="22"/>
        </w:rPr>
        <w:t>日</w:t>
      </w:r>
      <w:r>
        <w:rPr>
          <w:rFonts w:hint="eastAsia"/>
          <w:szCs w:val="22"/>
          <w:lang w:val="en-US" w:eastAsia="zh-CN"/>
        </w:rPr>
        <w:t>9</w:t>
      </w:r>
      <w:r>
        <w:rPr>
          <w:rFonts w:hint="eastAsia"/>
          <w:szCs w:val="22"/>
        </w:rPr>
        <w:t>时</w:t>
      </w:r>
      <w:r>
        <w:rPr>
          <w:rFonts w:hint="eastAsia"/>
          <w:szCs w:val="22"/>
          <w:lang w:val="en-US" w:eastAsia="zh-CN"/>
        </w:rPr>
        <w:t>00分</w:t>
      </w:r>
      <w:r>
        <w:rPr>
          <w:rFonts w:hint="eastAsia"/>
          <w:szCs w:val="22"/>
        </w:rPr>
        <w:t>（若有变动另行通知）。</w:t>
      </w:r>
    </w:p>
    <w:p w14:paraId="4968A503">
      <w:pPr>
        <w:pStyle w:val="7"/>
        <w:spacing w:line="360" w:lineRule="auto"/>
        <w:ind w:firstLine="420" w:firstLineChars="200"/>
        <w:rPr>
          <w:rFonts w:hint="default" w:eastAsia="宋体"/>
          <w:szCs w:val="22"/>
          <w:lang w:val="en-US" w:eastAsia="zh-CN"/>
        </w:rPr>
      </w:pPr>
      <w:r>
        <w:rPr>
          <w:rFonts w:hint="eastAsia"/>
          <w:szCs w:val="22"/>
        </w:rPr>
        <w:t>3. 线上招投标：</w:t>
      </w:r>
      <w:r>
        <w:rPr>
          <w:rFonts w:hint="eastAsia"/>
          <w:highlight w:val="none"/>
        </w:rPr>
        <w:t>本项目招标工作的所有过程均须在中国重汽e采通上完成，包括报名、资质审核、招标、应标、评标、审批等环节。中国重汽E采通中链接为（http://ecaitong.sinotruk.com:8012）。未在中国重汽E采通进行注册的供方，注册时，业务主管部门选择“安全环保</w:t>
      </w:r>
      <w:r>
        <w:rPr>
          <w:rFonts w:hint="eastAsia"/>
          <w:highlight w:val="none"/>
          <w:lang w:eastAsia="zh-CN"/>
        </w:rPr>
        <w:t>”</w:t>
      </w:r>
      <w:r>
        <w:rPr>
          <w:rFonts w:hint="eastAsia"/>
          <w:highlight w:val="none"/>
        </w:rPr>
        <w:t>，类别选择“环保</w:t>
      </w:r>
      <w:r>
        <w:rPr>
          <w:rFonts w:hint="eastAsia"/>
          <w:highlight w:val="none"/>
          <w:lang w:eastAsia="zh-CN"/>
        </w:rPr>
        <w:t>”，</w:t>
      </w:r>
      <w:r>
        <w:rPr>
          <w:rFonts w:hint="eastAsia"/>
          <w:highlight w:val="none"/>
        </w:rPr>
        <w:t>投标人须在202</w:t>
      </w:r>
      <w:r>
        <w:rPr>
          <w:rFonts w:hint="eastAsia"/>
          <w:highlight w:val="none"/>
          <w:lang w:val="en-US" w:eastAsia="zh-CN"/>
        </w:rPr>
        <w:t>5</w:t>
      </w:r>
      <w:r>
        <w:rPr>
          <w:rFonts w:hint="eastAsia"/>
          <w:highlight w:val="none"/>
        </w:rPr>
        <w:t>年</w:t>
      </w:r>
      <w:r>
        <w:rPr>
          <w:rFonts w:hint="eastAsia"/>
          <w:highlight w:val="none"/>
          <w:lang w:val="en-US" w:eastAsia="zh-CN"/>
        </w:rPr>
        <w:t>6</w:t>
      </w:r>
      <w:r>
        <w:rPr>
          <w:rFonts w:hint="eastAsia"/>
          <w:highlight w:val="none"/>
        </w:rPr>
        <w:t>月</w:t>
      </w:r>
      <w:r>
        <w:rPr>
          <w:rFonts w:hint="eastAsia"/>
          <w:highlight w:val="none"/>
          <w:lang w:val="en-US" w:eastAsia="zh-CN"/>
        </w:rPr>
        <w:t>8</w:t>
      </w:r>
      <w:r>
        <w:rPr>
          <w:rFonts w:hint="eastAsia"/>
          <w:highlight w:val="none"/>
        </w:rPr>
        <w:t>日24:00前供应商信息注册</w:t>
      </w:r>
      <w:r>
        <w:rPr>
          <w:rFonts w:hint="eastAsia"/>
          <w:highlight w:val="none"/>
          <w:lang w:val="en-US" w:eastAsia="zh-CN"/>
        </w:rPr>
        <w:t>(详见第二章)。</w:t>
      </w:r>
    </w:p>
    <w:p w14:paraId="33121894">
      <w:pPr>
        <w:pStyle w:val="7"/>
        <w:spacing w:line="360" w:lineRule="auto"/>
        <w:ind w:firstLine="560"/>
        <w:rPr>
          <w:szCs w:val="22"/>
        </w:rPr>
      </w:pPr>
      <w:r>
        <w:rPr>
          <w:rFonts w:hint="eastAsia"/>
          <w:szCs w:val="22"/>
        </w:rPr>
        <w:t>本项目的采购形式编号：</w:t>
      </w:r>
      <w:r>
        <w:rPr>
          <w:rFonts w:hint="eastAsia"/>
          <w:szCs w:val="22"/>
        </w:rPr>
        <w:tab/>
      </w:r>
      <w:r>
        <w:rPr>
          <w:rFonts w:hint="eastAsia"/>
          <w:szCs w:val="22"/>
        </w:rPr>
        <w:t>CGZX2025050192。</w:t>
      </w:r>
    </w:p>
    <w:p w14:paraId="61A8A1CF">
      <w:pPr>
        <w:pStyle w:val="7"/>
        <w:spacing w:line="360" w:lineRule="auto"/>
        <w:ind w:firstLine="560"/>
        <w:rPr>
          <w:rFonts w:hint="eastAsia"/>
          <w:szCs w:val="22"/>
        </w:rPr>
      </w:pPr>
      <w:r>
        <w:rPr>
          <w:rFonts w:hint="eastAsia"/>
          <w:szCs w:val="22"/>
        </w:rPr>
        <w:t>如有疑问请联系答疑人。</w:t>
      </w:r>
    </w:p>
    <w:p w14:paraId="5F120ED2">
      <w:pPr>
        <w:pStyle w:val="7"/>
        <w:numPr>
          <w:ilvl w:val="0"/>
          <w:numId w:val="1"/>
        </w:numPr>
        <w:spacing w:line="360" w:lineRule="auto"/>
        <w:ind w:firstLine="560"/>
        <w:rPr>
          <w:rFonts w:hint="eastAsia"/>
          <w:szCs w:val="22"/>
        </w:rPr>
      </w:pPr>
      <w:r>
        <w:rPr>
          <w:rFonts w:hint="eastAsia"/>
          <w:szCs w:val="22"/>
        </w:rPr>
        <w:t>在线资格预审时间：202</w:t>
      </w:r>
      <w:r>
        <w:rPr>
          <w:rFonts w:hint="eastAsia"/>
          <w:szCs w:val="22"/>
          <w:lang w:val="en-US" w:eastAsia="zh-CN"/>
        </w:rPr>
        <w:t>5</w:t>
      </w:r>
      <w:r>
        <w:rPr>
          <w:rFonts w:hint="eastAsia"/>
          <w:szCs w:val="22"/>
        </w:rPr>
        <w:t>年</w:t>
      </w:r>
      <w:r>
        <w:rPr>
          <w:rFonts w:hint="eastAsia"/>
          <w:szCs w:val="22"/>
          <w:lang w:val="en-US" w:eastAsia="zh-CN"/>
        </w:rPr>
        <w:t>6</w:t>
      </w:r>
      <w:r>
        <w:rPr>
          <w:rFonts w:hint="eastAsia"/>
          <w:szCs w:val="22"/>
        </w:rPr>
        <w:t>月</w:t>
      </w:r>
      <w:r>
        <w:rPr>
          <w:rFonts w:hint="eastAsia"/>
          <w:szCs w:val="22"/>
          <w:lang w:val="en-US" w:eastAsia="zh-CN"/>
        </w:rPr>
        <w:t>9</w:t>
      </w:r>
      <w:r>
        <w:rPr>
          <w:rFonts w:hint="eastAsia"/>
          <w:szCs w:val="22"/>
        </w:rPr>
        <w:t>日17点之前，请投标人按照资格审查内容及要求（详见</w:t>
      </w:r>
      <w:r>
        <w:rPr>
          <w:rFonts w:hint="eastAsia"/>
          <w:szCs w:val="22"/>
          <w:lang w:val="en-US" w:eastAsia="zh-CN"/>
        </w:rPr>
        <w:t>附件</w:t>
      </w:r>
      <w:r>
        <w:rPr>
          <w:rFonts w:hint="eastAsia"/>
          <w:szCs w:val="22"/>
        </w:rPr>
        <w:t xml:space="preserve"> </w:t>
      </w:r>
      <w:r>
        <w:rPr>
          <w:rFonts w:hint="eastAsia"/>
          <w:szCs w:val="22"/>
          <w:lang w:val="en-US" w:eastAsia="zh-CN"/>
        </w:rPr>
        <w:t>5</w:t>
      </w:r>
      <w:r>
        <w:rPr>
          <w:rFonts w:hint="eastAsia"/>
          <w:szCs w:val="22"/>
        </w:rPr>
        <w:t>《在线资质文件预审目录》），准备相关资料高清扫描件、保证金缴纳凭证、公司名称、基本账户开户行及汇款账号、投标联系人和电话等信息发送至</w:t>
      </w:r>
      <w:r>
        <w:rPr>
          <w:rFonts w:hint="eastAsia"/>
          <w:szCs w:val="22"/>
          <w:lang w:val="en-US" w:eastAsia="zh-CN"/>
        </w:rPr>
        <w:t>763323087</w:t>
      </w:r>
      <w:r>
        <w:rPr>
          <w:rFonts w:hint="eastAsia"/>
          <w:szCs w:val="22"/>
        </w:rPr>
        <w:t>@qq.com进行审核，邮件名称为：公司名称+在线资质文件预审，未按规定向投标人提供资格审查信息，为无效投标。</w:t>
      </w:r>
    </w:p>
    <w:p w14:paraId="567F6540">
      <w:pPr>
        <w:pStyle w:val="7"/>
        <w:spacing w:line="360" w:lineRule="auto"/>
        <w:rPr>
          <w:rFonts w:hint="eastAsia" w:ascii="黑体" w:eastAsia="黑体"/>
          <w:b/>
          <w:bCs/>
          <w:sz w:val="28"/>
        </w:rPr>
      </w:pPr>
      <w:r>
        <w:rPr>
          <w:rFonts w:hint="eastAsia" w:ascii="黑体" w:eastAsia="黑体"/>
          <w:b/>
          <w:bCs/>
          <w:sz w:val="28"/>
        </w:rPr>
        <w:t>五、获取招标文件</w:t>
      </w:r>
    </w:p>
    <w:p w14:paraId="474CD49A">
      <w:pPr>
        <w:pStyle w:val="7"/>
        <w:spacing w:line="360" w:lineRule="auto"/>
        <w:ind w:firstLine="420" w:firstLineChars="200"/>
        <w:rPr>
          <w:color w:val="000000"/>
        </w:rPr>
      </w:pPr>
      <w:r>
        <w:rPr>
          <w:rFonts w:hint="eastAsia"/>
          <w:color w:val="000000"/>
        </w:rPr>
        <w:t>1、招标文件发布方式：招标人在</w:t>
      </w:r>
      <w:r>
        <w:rPr>
          <w:rFonts w:hint="eastAsia"/>
          <w:color w:val="000000"/>
          <w:lang w:val="en-US" w:eastAsia="zh-CN"/>
        </w:rPr>
        <w:t>6</w:t>
      </w:r>
      <w:r>
        <w:rPr>
          <w:color w:val="000000"/>
        </w:rPr>
        <w:t>月</w:t>
      </w:r>
      <w:r>
        <w:rPr>
          <w:rFonts w:hint="eastAsia"/>
          <w:color w:val="000000"/>
          <w:lang w:val="en-US" w:eastAsia="zh-CN"/>
        </w:rPr>
        <w:t>9</w:t>
      </w:r>
      <w:r>
        <w:rPr>
          <w:rFonts w:hint="eastAsia"/>
          <w:color w:val="000000"/>
        </w:rPr>
        <w:t>日</w:t>
      </w:r>
      <w:r>
        <w:rPr>
          <w:color w:val="000000"/>
        </w:rPr>
        <w:t>9</w:t>
      </w:r>
      <w:r>
        <w:rPr>
          <w:rFonts w:hint="eastAsia"/>
          <w:color w:val="000000"/>
        </w:rPr>
        <w:t>点前将本项目招标书电子版，发送至中国重汽官网，招标人不对投标人能否及时接收相关文件负责，招标人电子版挂网即视为送达。</w:t>
      </w:r>
    </w:p>
    <w:p w14:paraId="1B6A7CE9">
      <w:pPr>
        <w:pStyle w:val="7"/>
        <w:spacing w:line="360" w:lineRule="auto"/>
        <w:ind w:firstLine="560"/>
        <w:rPr>
          <w:rFonts w:hint="eastAsia"/>
          <w:szCs w:val="22"/>
        </w:rPr>
      </w:pPr>
      <w:r>
        <w:rPr>
          <w:rFonts w:hint="eastAsia"/>
          <w:szCs w:val="22"/>
        </w:rPr>
        <w:t>2、联系人：</w:t>
      </w:r>
      <w:r>
        <w:rPr>
          <w:rFonts w:hint="eastAsia"/>
          <w:szCs w:val="22"/>
          <w:lang w:val="en-US" w:eastAsia="zh-CN"/>
        </w:rPr>
        <w:t>崔浩然</w:t>
      </w:r>
      <w:r>
        <w:rPr>
          <w:rFonts w:hint="eastAsia"/>
          <w:szCs w:val="22"/>
        </w:rPr>
        <w:t>（联系方式：</w:t>
      </w:r>
      <w:r>
        <w:rPr>
          <w:rFonts w:hint="eastAsia"/>
          <w:szCs w:val="22"/>
          <w:lang w:val="en-US" w:eastAsia="zh-CN"/>
        </w:rPr>
        <w:t>18865383050</w:t>
      </w:r>
      <w:r>
        <w:rPr>
          <w:rFonts w:hint="eastAsia"/>
          <w:szCs w:val="22"/>
        </w:rPr>
        <w:t>）</w:t>
      </w:r>
    </w:p>
    <w:p w14:paraId="6DA06F6A">
      <w:pPr>
        <w:pStyle w:val="7"/>
        <w:spacing w:line="360" w:lineRule="auto"/>
        <w:rPr>
          <w:rFonts w:ascii="黑体" w:eastAsia="黑体"/>
          <w:b/>
          <w:bCs/>
          <w:sz w:val="28"/>
        </w:rPr>
      </w:pPr>
      <w:r>
        <w:rPr>
          <w:rFonts w:hint="eastAsia" w:ascii="黑体" w:eastAsia="黑体"/>
          <w:b/>
          <w:bCs/>
          <w:sz w:val="28"/>
          <w:lang w:val="en-US" w:eastAsia="zh-CN"/>
        </w:rPr>
        <w:t>六</w:t>
      </w:r>
      <w:r>
        <w:rPr>
          <w:rFonts w:hint="eastAsia" w:ascii="黑体" w:eastAsia="黑体"/>
          <w:b/>
          <w:bCs/>
          <w:sz w:val="28"/>
        </w:rPr>
        <w:t>、投标说明</w:t>
      </w:r>
    </w:p>
    <w:p w14:paraId="7F73B623">
      <w:pPr>
        <w:pStyle w:val="7"/>
        <w:spacing w:line="360" w:lineRule="auto"/>
        <w:ind w:left="631" w:leftChars="200" w:hanging="211" w:hangingChars="100"/>
        <w:rPr>
          <w:b/>
        </w:rPr>
      </w:pPr>
      <w:r>
        <w:rPr>
          <w:rFonts w:hint="eastAsia"/>
          <w:b/>
        </w:rPr>
        <w:t>1、投标条件</w:t>
      </w:r>
    </w:p>
    <w:p w14:paraId="3EED1E4D">
      <w:pPr>
        <w:pStyle w:val="7"/>
        <w:spacing w:line="360" w:lineRule="auto"/>
        <w:ind w:firstLine="413" w:firstLineChars="196"/>
        <w:rPr>
          <w:b/>
        </w:rPr>
      </w:pPr>
      <w:r>
        <w:rPr>
          <w:rFonts w:hint="eastAsia"/>
          <w:b/>
        </w:rPr>
        <w:t>所有投标方需满足以下条件，并经招标方审核通过后方可获得该项目的投标资格：</w:t>
      </w:r>
    </w:p>
    <w:p w14:paraId="7EE63EB4">
      <w:pPr>
        <w:pStyle w:val="7"/>
        <w:numPr>
          <w:ilvl w:val="0"/>
          <w:numId w:val="2"/>
        </w:numPr>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投标人须遵守《中华人民共和国招标投标法》、《中华人民共和国民法典》及其它有关的法律和法规；</w:t>
      </w:r>
    </w:p>
    <w:p w14:paraId="536A28F4">
      <w:pPr>
        <w:pStyle w:val="7"/>
        <w:spacing w:line="360" w:lineRule="auto"/>
        <w:ind w:left="630" w:leftChars="200" w:hanging="210" w:hangingChars="100"/>
        <w:rPr>
          <w:rFonts w:hint="eastAsia" w:hAnsi="Courier New" w:eastAsia="宋体" w:cs="Times New Roman"/>
          <w:color w:val="000000"/>
        </w:rPr>
      </w:pPr>
      <w:r>
        <w:rPr>
          <w:rFonts w:hint="eastAsia" w:cs="Times New Roman"/>
          <w:color w:val="000000"/>
          <w:lang w:val="en-US" w:eastAsia="zh-CN"/>
        </w:rPr>
        <w:t>（2）</w:t>
      </w:r>
      <w:r>
        <w:rPr>
          <w:rFonts w:hint="eastAsia" w:hAnsi="Courier New" w:eastAsia="宋体" w:cs="Times New Roman"/>
          <w:color w:val="000000"/>
          <w:lang w:val="en-US" w:eastAsia="zh-CN"/>
        </w:rPr>
        <w:t>资质：</w:t>
      </w:r>
    </w:p>
    <w:p w14:paraId="7AA93D82">
      <w:pPr>
        <w:pStyle w:val="7"/>
        <w:spacing w:line="360" w:lineRule="auto"/>
        <w:ind w:left="630" w:leftChars="300" w:firstLine="210" w:firstLineChars="100"/>
        <w:rPr>
          <w:rFonts w:hint="eastAsia" w:hAnsi="Courier New" w:eastAsia="宋体" w:cs="Times New Roman"/>
          <w:color w:val="000000"/>
        </w:rPr>
      </w:pPr>
      <w:r>
        <w:rPr>
          <w:rFonts w:hint="eastAsia" w:hAnsi="Courier New" w:eastAsia="宋体" w:cs="Times New Roman"/>
          <w:color w:val="000000"/>
        </w:rPr>
        <w:t>投标人为该标的物的设计和制造商或其在中国境内有完善的技术以及售后服务体系，投标人为代理商的须具有制造商出具的正式授权，提供授权书原件（针对该项目的唯一授权书），保证提供原厂售后服务并提供售后服务承诺书原件；</w:t>
      </w:r>
    </w:p>
    <w:p w14:paraId="3081D32C">
      <w:pPr>
        <w:pStyle w:val="7"/>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hAnsi="Courier New" w:eastAsia="宋体" w:cs="Times New Roman"/>
          <w:color w:val="000000"/>
          <w:lang w:val="en-US" w:eastAsia="zh-CN"/>
        </w:rPr>
        <w:t>3</w:t>
      </w:r>
      <w:r>
        <w:rPr>
          <w:rFonts w:hint="eastAsia" w:hAnsi="Courier New" w:eastAsia="宋体" w:cs="Times New Roman"/>
          <w:color w:val="000000"/>
        </w:rPr>
        <w:t>）标投人必须是在中华人民共和国境内注册的独立法人机构，具有独立承担民事责任能力，</w:t>
      </w:r>
      <w:r>
        <w:rPr>
          <w:rFonts w:hint="eastAsia"/>
          <w:b/>
          <w:bCs/>
          <w:color w:val="000000"/>
          <w:szCs w:val="21"/>
        </w:rPr>
        <w:t>注册资金不少于50</w:t>
      </w:r>
      <w:r>
        <w:rPr>
          <w:rFonts w:hint="eastAsia"/>
          <w:b/>
          <w:bCs/>
          <w:color w:val="000000"/>
          <w:szCs w:val="21"/>
          <w:lang w:val="en-US" w:eastAsia="zh-CN"/>
        </w:rPr>
        <w:t>0</w:t>
      </w:r>
      <w:r>
        <w:rPr>
          <w:rFonts w:hint="eastAsia"/>
          <w:b/>
          <w:bCs/>
          <w:color w:val="000000"/>
          <w:szCs w:val="21"/>
        </w:rPr>
        <w:t>万人民币</w:t>
      </w:r>
      <w:r>
        <w:rPr>
          <w:rFonts w:hint="eastAsia"/>
          <w:b/>
          <w:bCs/>
          <w:szCs w:val="21"/>
        </w:rPr>
        <w:t>；</w:t>
      </w:r>
      <w:r>
        <w:rPr>
          <w:rFonts w:hint="eastAsia" w:hAnsi="Courier New" w:eastAsia="宋体" w:cs="Times New Roman"/>
          <w:b/>
          <w:bCs/>
          <w:color w:val="000000"/>
        </w:rPr>
        <w:t>公司成立</w:t>
      </w:r>
      <w:r>
        <w:rPr>
          <w:rFonts w:hint="eastAsia" w:cs="Times New Roman"/>
          <w:b/>
          <w:bCs/>
          <w:color w:val="000000"/>
          <w:lang w:val="en-US" w:eastAsia="zh-CN"/>
        </w:rPr>
        <w:t>两</w:t>
      </w:r>
      <w:r>
        <w:rPr>
          <w:rFonts w:hint="eastAsia" w:hAnsi="Courier New" w:eastAsia="宋体" w:cs="Times New Roman"/>
          <w:b/>
          <w:bCs/>
          <w:color w:val="000000"/>
        </w:rPr>
        <w:t>年以上（以营业执照成立日期到开标当日满</w:t>
      </w:r>
      <w:r>
        <w:rPr>
          <w:rFonts w:hint="eastAsia" w:cs="Times New Roman"/>
          <w:b/>
          <w:bCs/>
          <w:color w:val="000000"/>
          <w:lang w:val="en-US" w:eastAsia="zh-CN"/>
        </w:rPr>
        <w:t>两</w:t>
      </w:r>
      <w:r>
        <w:rPr>
          <w:rFonts w:hint="eastAsia" w:hAnsi="Courier New" w:eastAsia="宋体" w:cs="Times New Roman"/>
          <w:b/>
          <w:bCs/>
          <w:color w:val="000000"/>
        </w:rPr>
        <w:t>年为准）</w:t>
      </w:r>
      <w:r>
        <w:rPr>
          <w:rFonts w:hint="eastAsia" w:hAnsi="Courier New" w:eastAsia="宋体" w:cs="Times New Roman"/>
          <w:color w:val="000000"/>
        </w:rPr>
        <w:t>；且经营范围满足招标人需求；并在人员、设备、资金等方面具有承担本项目的能力；</w:t>
      </w:r>
    </w:p>
    <w:p w14:paraId="3C5B93D1">
      <w:pPr>
        <w:pStyle w:val="7"/>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4</w:t>
      </w:r>
      <w:r>
        <w:rPr>
          <w:rFonts w:hint="eastAsia" w:hAnsi="Courier New" w:eastAsia="宋体" w:cs="Times New Roman"/>
          <w:color w:val="000000"/>
        </w:rPr>
        <w:t>）投标人应提供三证合一的营业执照原件副本（加盖公章）；</w:t>
      </w:r>
    </w:p>
    <w:p w14:paraId="30746812">
      <w:pPr>
        <w:pStyle w:val="7"/>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5</w:t>
      </w:r>
      <w:r>
        <w:rPr>
          <w:rFonts w:hint="eastAsia" w:hAnsi="Courier New" w:eastAsia="宋体" w:cs="Times New Roman"/>
          <w:color w:val="000000"/>
        </w:rPr>
        <w:t>）投标人提供经会计师事务所审计且出具无保留意见的近</w:t>
      </w:r>
      <w:r>
        <w:rPr>
          <w:rFonts w:hint="eastAsia" w:cs="Times New Roman"/>
          <w:color w:val="000000"/>
          <w:lang w:val="en-US" w:eastAsia="zh-CN"/>
        </w:rPr>
        <w:t>两</w:t>
      </w:r>
      <w:r>
        <w:rPr>
          <w:rFonts w:hint="eastAsia" w:hAnsi="Courier New" w:eastAsia="宋体" w:cs="Times New Roman"/>
          <w:color w:val="000000"/>
        </w:rPr>
        <w:t>年的财务审计报告原件，并加盖公章，包括但不限于报告页、经审计的资产负债表、利润表、现金流量表及报表附注。如投标人公司没有经审计的财务报告，可提供加盖公章的近</w:t>
      </w:r>
      <w:r>
        <w:rPr>
          <w:rFonts w:hint="eastAsia" w:cs="Times New Roman"/>
          <w:color w:val="000000"/>
          <w:lang w:val="en-US" w:eastAsia="zh-CN"/>
        </w:rPr>
        <w:t>两</w:t>
      </w:r>
      <w:r>
        <w:rPr>
          <w:rFonts w:hint="eastAsia" w:hAnsi="Courier New" w:eastAsia="宋体" w:cs="Times New Roman"/>
          <w:color w:val="000000"/>
        </w:rPr>
        <w:t>年财务报表，包括但不限于资产负债表、利润表、现金流量表。</w:t>
      </w:r>
    </w:p>
    <w:p w14:paraId="1FBDDEDC">
      <w:pPr>
        <w:pStyle w:val="7"/>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6</w:t>
      </w:r>
      <w:r>
        <w:rPr>
          <w:rFonts w:hint="eastAsia" w:hAnsi="Courier New" w:eastAsia="宋体" w:cs="Times New Roman"/>
          <w:color w:val="000000"/>
        </w:rPr>
        <w:t>）投标人在《国家企业信用信息公示系统》、信用中国、天眼查、启信宝等企业信息查询系统中不存在不良记录；</w:t>
      </w:r>
    </w:p>
    <w:p w14:paraId="03436FBF">
      <w:pPr>
        <w:pStyle w:val="7"/>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7</w:t>
      </w:r>
      <w:r>
        <w:rPr>
          <w:rFonts w:hint="eastAsia" w:hAnsi="Courier New" w:eastAsia="宋体" w:cs="Times New Roman"/>
          <w:color w:val="000000"/>
        </w:rPr>
        <w:t>）投标人应具有设备生产厂商针对本项目的授权书（针对该项目的唯一授权书）、所投产品具有强制性产品认证证书、所投产品具有入网许可证</w:t>
      </w:r>
      <w:r>
        <w:rPr>
          <w:rFonts w:hint="eastAsia"/>
        </w:rPr>
        <w:t>；</w:t>
      </w:r>
    </w:p>
    <w:p w14:paraId="17C6FE42">
      <w:pPr>
        <w:pStyle w:val="7"/>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8</w:t>
      </w:r>
      <w:r>
        <w:rPr>
          <w:rFonts w:hint="eastAsia" w:hAnsi="Courier New" w:eastAsia="宋体" w:cs="Times New Roman"/>
          <w:color w:val="000000"/>
        </w:rPr>
        <w:t>）投标人须提供法人授权委托书原件（在投标文件副本中可用复印件）及投标单位的法定代表人或授权代表的身份证原件及复印件（加盖公章）；</w:t>
      </w:r>
    </w:p>
    <w:p w14:paraId="653BB0A7">
      <w:pPr>
        <w:pStyle w:val="7"/>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9</w:t>
      </w:r>
      <w:r>
        <w:rPr>
          <w:rFonts w:hint="eastAsia" w:hAnsi="Courier New" w:eastAsia="宋体" w:cs="Times New Roman"/>
          <w:color w:val="000000"/>
        </w:rPr>
        <w:t>）凡参与投标的单位，皆要求开具与投标单位抬头一致的增值税</w:t>
      </w:r>
      <w:r>
        <w:rPr>
          <w:rFonts w:hint="eastAsia" w:cs="Times New Roman"/>
          <w:color w:val="000000"/>
          <w:lang w:val="en-US" w:eastAsia="zh-CN"/>
        </w:rPr>
        <w:t>专用</w:t>
      </w:r>
      <w:r>
        <w:rPr>
          <w:rFonts w:hint="eastAsia" w:hAnsi="Courier New" w:eastAsia="宋体" w:cs="Times New Roman"/>
          <w:color w:val="000000"/>
        </w:rPr>
        <w:t>发票。</w:t>
      </w:r>
    </w:p>
    <w:p w14:paraId="5FE3AAD0">
      <w:pPr>
        <w:pStyle w:val="7"/>
        <w:spacing w:line="360" w:lineRule="auto"/>
        <w:ind w:left="630" w:leftChars="200" w:hanging="210" w:hangingChars="100"/>
        <w:rPr>
          <w:rFonts w:hint="eastAsia" w:hAnsi="Courier New" w:eastAsia="宋体" w:cs="Times New Roman"/>
          <w:color w:val="000000"/>
        </w:rPr>
      </w:pPr>
      <w:r>
        <w:rPr>
          <w:rFonts w:hint="eastAsia" w:hAnsi="Courier New" w:eastAsia="宋体" w:cs="Times New Roman"/>
          <w:color w:val="000000"/>
        </w:rPr>
        <w:t>（</w:t>
      </w:r>
      <w:r>
        <w:rPr>
          <w:rFonts w:hint="eastAsia" w:cs="Times New Roman"/>
          <w:color w:val="000000"/>
          <w:lang w:val="en-US" w:eastAsia="zh-CN"/>
        </w:rPr>
        <w:t>10</w:t>
      </w:r>
      <w:r>
        <w:rPr>
          <w:rFonts w:hint="eastAsia" w:hAnsi="Courier New" w:eastAsia="宋体" w:cs="Times New Roman"/>
          <w:color w:val="000000"/>
        </w:rPr>
        <w:t>）投标人必须是最终投标、签订合同的单位，不得以任何理由将已中标项目以任何形式转包给其他单位；</w:t>
      </w:r>
    </w:p>
    <w:p w14:paraId="63366A9E">
      <w:pPr>
        <w:pStyle w:val="7"/>
        <w:spacing w:line="360" w:lineRule="auto"/>
        <w:ind w:firstLine="420" w:firstLineChars="200"/>
        <w:rPr>
          <w:rFonts w:hint="eastAsia" w:hAnsi="Courier New" w:eastAsia="宋体" w:cs="Times New Roman"/>
          <w:color w:val="000000"/>
          <w:lang w:eastAsia="zh-CN"/>
        </w:rPr>
      </w:pPr>
      <w:r>
        <w:rPr>
          <w:rFonts w:hint="eastAsia" w:cs="Times New Roman"/>
          <w:color w:val="000000"/>
          <w:lang w:eastAsia="zh-CN"/>
        </w:rPr>
        <w:t>（</w:t>
      </w:r>
      <w:r>
        <w:rPr>
          <w:rFonts w:hint="eastAsia" w:cs="Times New Roman"/>
          <w:color w:val="000000"/>
          <w:lang w:val="en-US" w:eastAsia="zh-CN"/>
        </w:rPr>
        <w:t>11</w:t>
      </w:r>
      <w:r>
        <w:rPr>
          <w:rFonts w:hint="eastAsia" w:cs="Times New Roman"/>
          <w:color w:val="000000"/>
          <w:lang w:eastAsia="zh-CN"/>
        </w:rPr>
        <w:t>）</w:t>
      </w:r>
      <w:r>
        <w:rPr>
          <w:rFonts w:hint="eastAsia" w:hAnsi="Courier New" w:eastAsia="宋体" w:cs="Times New Roman"/>
          <w:color w:val="000000"/>
        </w:rPr>
        <w:t>中标方应在合同签订后15日内需根据设计提资要求提供详细的设备运行参数</w:t>
      </w:r>
      <w:r>
        <w:rPr>
          <w:rFonts w:hint="eastAsia" w:hAnsi="Courier New" w:eastAsia="宋体" w:cs="Times New Roman"/>
          <w:color w:val="000000"/>
          <w:lang w:eastAsia="zh-CN"/>
        </w:rPr>
        <w:t>、</w:t>
      </w:r>
      <w:r>
        <w:rPr>
          <w:rFonts w:hint="eastAsia" w:hAnsi="Courier New" w:eastAsia="宋体" w:cs="Times New Roman"/>
          <w:color w:val="000000"/>
        </w:rPr>
        <w:t>接口信息,规格,技术需求等资料</w:t>
      </w:r>
      <w:r>
        <w:rPr>
          <w:rFonts w:hint="eastAsia" w:cs="Times New Roman"/>
          <w:color w:val="000000"/>
          <w:lang w:eastAsia="zh-CN"/>
        </w:rPr>
        <w:t>，</w:t>
      </w:r>
      <w:r>
        <w:rPr>
          <w:rFonts w:hint="eastAsia" w:hAnsi="Courier New" w:eastAsia="宋体" w:cs="Times New Roman"/>
          <w:color w:val="000000"/>
          <w:lang w:eastAsia="zh-CN"/>
        </w:rPr>
        <w:t>对于提资不准确不全面、不符合招标文件技术要求、提资变更导致的损失由</w:t>
      </w:r>
      <w:r>
        <w:rPr>
          <w:rFonts w:hint="eastAsia" w:cs="Times New Roman"/>
          <w:color w:val="000000"/>
          <w:lang w:val="en-US" w:eastAsia="zh-CN"/>
        </w:rPr>
        <w:t>中标方</w:t>
      </w:r>
      <w:r>
        <w:rPr>
          <w:rFonts w:hint="eastAsia" w:hAnsi="Courier New" w:eastAsia="宋体" w:cs="Times New Roman"/>
          <w:color w:val="000000"/>
          <w:lang w:eastAsia="zh-CN"/>
        </w:rPr>
        <w:t>承担，并承担违约责任。</w:t>
      </w:r>
    </w:p>
    <w:p w14:paraId="00CA9792">
      <w:pPr>
        <w:pStyle w:val="7"/>
        <w:spacing w:line="360" w:lineRule="auto"/>
        <w:ind w:left="630" w:leftChars="200" w:hanging="210" w:hangingChars="100"/>
        <w:rPr>
          <w:rFonts w:hint="eastAsia" w:hAnsi="Courier New" w:eastAsia="宋体" w:cs="Times New Roman"/>
          <w:color w:val="000000"/>
          <w:highlight w:val="none"/>
        </w:rPr>
      </w:pPr>
      <w:r>
        <w:rPr>
          <w:rFonts w:hint="eastAsia" w:hAnsi="Courier New" w:eastAsia="宋体" w:cs="Times New Roman"/>
          <w:color w:val="000000"/>
        </w:rPr>
        <w:t>（1</w:t>
      </w:r>
      <w:r>
        <w:rPr>
          <w:rFonts w:hint="eastAsia" w:cs="Times New Roman"/>
          <w:color w:val="000000"/>
          <w:lang w:val="en-US" w:eastAsia="zh-CN"/>
        </w:rPr>
        <w:t>2</w:t>
      </w:r>
      <w:r>
        <w:rPr>
          <w:rFonts w:hint="eastAsia" w:hAnsi="Courier New" w:eastAsia="宋体" w:cs="Times New Roman"/>
          <w:color w:val="000000"/>
        </w:rPr>
        <w:t>）拟投标人近</w:t>
      </w:r>
      <w:r>
        <w:rPr>
          <w:rFonts w:hint="eastAsia" w:cs="Times New Roman"/>
          <w:color w:val="000000"/>
          <w:lang w:val="en-US" w:eastAsia="zh-CN"/>
        </w:rPr>
        <w:t>三</w:t>
      </w:r>
      <w:r>
        <w:rPr>
          <w:rFonts w:hint="eastAsia" w:hAnsi="Courier New" w:eastAsia="宋体" w:cs="Times New Roman"/>
          <w:color w:val="000000"/>
        </w:rPr>
        <w:t>年内无违</w:t>
      </w:r>
      <w:r>
        <w:rPr>
          <w:rFonts w:hint="eastAsia" w:hAnsi="Courier New" w:eastAsia="宋体" w:cs="Times New Roman"/>
          <w:color w:val="000000"/>
          <w:highlight w:val="none"/>
        </w:rPr>
        <w:t>法及重大违规情况。</w:t>
      </w:r>
    </w:p>
    <w:p w14:paraId="3DEC3A16">
      <w:pPr>
        <w:pStyle w:val="7"/>
        <w:spacing w:line="360" w:lineRule="auto"/>
        <w:ind w:left="631" w:leftChars="200" w:hanging="211" w:hangingChars="100"/>
        <w:rPr>
          <w:b/>
          <w:highlight w:val="none"/>
        </w:rPr>
      </w:pPr>
      <w:r>
        <w:rPr>
          <w:rFonts w:hint="eastAsia"/>
          <w:b/>
          <w:highlight w:val="none"/>
        </w:rPr>
        <w:t>2、投标要求</w:t>
      </w:r>
    </w:p>
    <w:p w14:paraId="6E78EBEE">
      <w:pPr>
        <w:pStyle w:val="7"/>
        <w:spacing w:line="360" w:lineRule="auto"/>
        <w:ind w:left="630" w:leftChars="200" w:hanging="210" w:hangingChars="100"/>
        <w:rPr>
          <w:rFonts w:hAnsi="宋体"/>
          <w:bCs/>
          <w:highlight w:val="none"/>
        </w:rPr>
      </w:pPr>
      <w:r>
        <w:rPr>
          <w:rFonts w:hint="eastAsia" w:hAnsi="宋体"/>
          <w:bCs/>
          <w:highlight w:val="none"/>
        </w:rPr>
        <w:t>报名参与本项目的投标方，需遵循以下要求：</w:t>
      </w:r>
    </w:p>
    <w:p w14:paraId="3D2832D2">
      <w:pPr>
        <w:pStyle w:val="7"/>
        <w:numPr>
          <w:ilvl w:val="0"/>
          <w:numId w:val="3"/>
        </w:numPr>
        <w:spacing w:line="360" w:lineRule="auto"/>
        <w:rPr>
          <w:b/>
          <w:bCs/>
          <w:highlight w:val="none"/>
          <w:u w:val="single"/>
        </w:rPr>
      </w:pPr>
      <w:r>
        <w:rPr>
          <w:rFonts w:hint="eastAsia"/>
          <w:b/>
          <w:bCs/>
          <w:highlight w:val="none"/>
          <w:u w:val="single"/>
        </w:rPr>
        <w:t>投标方向招标方财务部门缴纳</w:t>
      </w:r>
      <w:r>
        <w:rPr>
          <w:rFonts w:hint="eastAsia"/>
          <w:b/>
          <w:bCs/>
          <w:highlight w:val="none"/>
          <w:u w:val="single"/>
          <w:lang w:val="en-US" w:eastAsia="zh-CN"/>
        </w:rPr>
        <w:t>5000</w:t>
      </w:r>
      <w:r>
        <w:rPr>
          <w:rFonts w:hint="eastAsia"/>
          <w:b/>
          <w:bCs/>
          <w:highlight w:val="none"/>
          <w:u w:val="single"/>
        </w:rPr>
        <w:t>元（人民币）/作为本次</w:t>
      </w:r>
      <w:r>
        <w:rPr>
          <w:rFonts w:hint="eastAsia"/>
          <w:b/>
          <w:bCs/>
          <w:highlight w:val="none"/>
          <w:u w:val="single"/>
          <w:lang w:val="en-US" w:eastAsia="zh-CN"/>
        </w:rPr>
        <w:t>的</w:t>
      </w:r>
      <w:r>
        <w:rPr>
          <w:rFonts w:hint="eastAsia"/>
          <w:b/>
          <w:bCs/>
          <w:highlight w:val="none"/>
          <w:u w:val="single"/>
        </w:rPr>
        <w:t>投标保证金。</w:t>
      </w:r>
    </w:p>
    <w:p w14:paraId="775C2F4B">
      <w:pPr>
        <w:pStyle w:val="7"/>
        <w:spacing w:line="360" w:lineRule="auto"/>
        <w:rPr>
          <w:rFonts w:hint="eastAsia"/>
          <w:bCs/>
          <w:highlight w:val="none"/>
          <w:u w:val="single"/>
        </w:rPr>
      </w:pPr>
      <w:r>
        <w:rPr>
          <w:rFonts w:hint="eastAsia"/>
          <w:bCs/>
          <w:highlight w:val="none"/>
          <w:u w:val="single"/>
        </w:rPr>
        <w:t>*缴纳方式：银行转账。</w:t>
      </w:r>
    </w:p>
    <w:tbl>
      <w:tblPr>
        <w:tblStyle w:val="12"/>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14:paraId="62AD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46" w:type="dxa"/>
            <w:noWrap w:val="0"/>
            <w:vAlign w:val="center"/>
          </w:tcPr>
          <w:p w14:paraId="5A43F28C">
            <w:pPr>
              <w:rPr>
                <w:rFonts w:hint="default" w:ascii="仿宋_GB2312" w:eastAsia="宋体"/>
                <w:color w:val="FF0000"/>
                <w:szCs w:val="21"/>
                <w:highlight w:val="none"/>
                <w:lang w:val="en-US" w:eastAsia="zh-CN"/>
              </w:rPr>
            </w:pPr>
            <w:r>
              <w:rPr>
                <w:rFonts w:hint="eastAsia" w:ascii="宋体" w:hAnsi="宋体"/>
                <w:bCs/>
                <w:szCs w:val="21"/>
                <w:highlight w:val="none"/>
              </w:rPr>
              <w:t>开户银行：</w:t>
            </w:r>
            <w:r>
              <w:rPr>
                <w:rFonts w:hint="eastAsia" w:ascii="宋体" w:hAnsi="宋体"/>
                <w:bCs/>
                <w:szCs w:val="21"/>
                <w:highlight w:val="none"/>
                <w:lang w:val="en-US" w:eastAsia="zh-CN"/>
              </w:rPr>
              <w:t>中国银行济宁分行</w:t>
            </w:r>
          </w:p>
        </w:tc>
      </w:tr>
      <w:tr w14:paraId="49ED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346" w:type="dxa"/>
            <w:noWrap w:val="0"/>
            <w:vAlign w:val="center"/>
          </w:tcPr>
          <w:p w14:paraId="5F785613">
            <w:pPr>
              <w:jc w:val="left"/>
              <w:rPr>
                <w:rFonts w:ascii="仿宋_GB2312" w:eastAsia="仿宋_GB2312"/>
                <w:color w:val="FF0000"/>
                <w:szCs w:val="21"/>
                <w:highlight w:val="none"/>
              </w:rPr>
            </w:pPr>
            <w:r>
              <w:rPr>
                <w:rFonts w:hint="eastAsia" w:ascii="宋体" w:hAnsi="宋体"/>
                <w:bCs/>
                <w:szCs w:val="21"/>
                <w:highlight w:val="none"/>
              </w:rPr>
              <w:t>开户单位：中国重汽集团济宁商用车有限公司</w:t>
            </w:r>
          </w:p>
        </w:tc>
      </w:tr>
      <w:tr w14:paraId="4581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46" w:type="dxa"/>
            <w:noWrap w:val="0"/>
            <w:vAlign w:val="center"/>
          </w:tcPr>
          <w:p w14:paraId="256D10B0">
            <w:pPr>
              <w:keepNext w:val="0"/>
              <w:keepLines w:val="0"/>
              <w:widowControl/>
              <w:suppressLineNumbers w:val="0"/>
              <w:jc w:val="left"/>
              <w:rPr>
                <w:rFonts w:hint="default" w:ascii="仿宋_GB2312" w:eastAsia="宋体"/>
                <w:color w:val="FF0000"/>
                <w:szCs w:val="21"/>
                <w:highlight w:val="none"/>
                <w:lang w:val="en-US" w:eastAsia="zh-CN"/>
              </w:rPr>
            </w:pPr>
            <w:r>
              <w:rPr>
                <w:rFonts w:hint="eastAsia" w:ascii="宋体" w:hAnsi="宋体"/>
                <w:bCs/>
                <w:szCs w:val="21"/>
                <w:highlight w:val="none"/>
                <w:lang w:val="en-US" w:eastAsia="zh-CN"/>
              </w:rPr>
              <w:t>帐 号：231202725157</w:t>
            </w:r>
          </w:p>
        </w:tc>
      </w:tr>
      <w:tr w14:paraId="3A98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46" w:type="dxa"/>
            <w:noWrap w:val="0"/>
            <w:vAlign w:val="center"/>
          </w:tcPr>
          <w:p w14:paraId="3A1C8703">
            <w:pPr>
              <w:keepNext w:val="0"/>
              <w:keepLines w:val="0"/>
              <w:widowControl/>
              <w:suppressLineNumbers w:val="0"/>
              <w:jc w:val="left"/>
              <w:rPr>
                <w:rFonts w:hint="eastAsia" w:ascii="宋体" w:hAnsi="宋体"/>
                <w:bCs/>
                <w:szCs w:val="21"/>
                <w:highlight w:val="none"/>
              </w:rPr>
            </w:pPr>
            <w:r>
              <w:rPr>
                <w:rFonts w:hint="eastAsia" w:ascii="宋体" w:hAnsi="宋体"/>
                <w:bCs/>
                <w:szCs w:val="21"/>
                <w:highlight w:val="none"/>
                <w:lang w:val="en-US" w:eastAsia="zh-CN"/>
              </w:rPr>
              <w:t>行 号：104461000020</w:t>
            </w:r>
          </w:p>
        </w:tc>
      </w:tr>
    </w:tbl>
    <w:p w14:paraId="29A5A16F">
      <w:pPr>
        <w:pStyle w:val="7"/>
        <w:spacing w:line="360" w:lineRule="auto"/>
        <w:ind w:firstLine="422" w:firstLineChars="200"/>
        <w:rPr>
          <w:bCs/>
          <w:highlight w:val="none"/>
        </w:rPr>
      </w:pPr>
      <w:r>
        <w:rPr>
          <w:rFonts w:hint="eastAsia"/>
          <w:b/>
          <w:highlight w:val="none"/>
        </w:rPr>
        <w:t>（</w:t>
      </w:r>
      <w:r>
        <w:rPr>
          <w:b/>
          <w:highlight w:val="none"/>
        </w:rPr>
        <w:t>2</w:t>
      </w:r>
      <w:r>
        <w:rPr>
          <w:rFonts w:hint="eastAsia"/>
          <w:b/>
          <w:highlight w:val="none"/>
        </w:rPr>
        <w:t>）投标保证金需在202</w:t>
      </w:r>
      <w:r>
        <w:rPr>
          <w:rFonts w:hint="eastAsia"/>
          <w:b/>
          <w:highlight w:val="none"/>
          <w:lang w:val="en-US" w:eastAsia="zh-CN"/>
        </w:rPr>
        <w:t>5</w:t>
      </w:r>
      <w:r>
        <w:rPr>
          <w:rFonts w:hint="eastAsia"/>
          <w:b/>
          <w:highlight w:val="none"/>
        </w:rPr>
        <w:t>年</w:t>
      </w:r>
      <w:r>
        <w:rPr>
          <w:rFonts w:hint="eastAsia"/>
          <w:b/>
          <w:highlight w:val="none"/>
          <w:lang w:val="en-US" w:eastAsia="zh-CN"/>
        </w:rPr>
        <w:t>6</w:t>
      </w:r>
      <w:r>
        <w:rPr>
          <w:rFonts w:hint="eastAsia"/>
          <w:b/>
          <w:color w:val="000000"/>
          <w:highlight w:val="none"/>
        </w:rPr>
        <w:t>月</w:t>
      </w:r>
      <w:r>
        <w:rPr>
          <w:rFonts w:hint="eastAsia"/>
          <w:b/>
          <w:color w:val="000000"/>
          <w:highlight w:val="none"/>
          <w:lang w:val="en-US" w:eastAsia="zh-CN"/>
        </w:rPr>
        <w:t>9</w:t>
      </w:r>
      <w:r>
        <w:rPr>
          <w:rFonts w:hint="eastAsia"/>
          <w:b/>
          <w:color w:val="000000"/>
          <w:highlight w:val="none"/>
        </w:rPr>
        <w:t>日</w:t>
      </w:r>
      <w:r>
        <w:rPr>
          <w:rFonts w:hint="eastAsia"/>
          <w:b/>
          <w:color w:val="000000"/>
          <w:highlight w:val="none"/>
          <w:lang w:val="en-US" w:eastAsia="zh-CN"/>
        </w:rPr>
        <w:t>17</w:t>
      </w:r>
      <w:r>
        <w:rPr>
          <w:rFonts w:hint="eastAsia"/>
          <w:b/>
          <w:highlight w:val="none"/>
        </w:rPr>
        <w:t>点前转入指定账户，并备注：</w:t>
      </w:r>
      <w:r>
        <w:rPr>
          <w:rFonts w:hint="eastAsia" w:cs="Times New Roman"/>
          <w:b/>
          <w:highlight w:val="none"/>
          <w:lang w:val="en-US" w:eastAsia="zh-CN"/>
        </w:rPr>
        <w:t>移动源监控系统升级改造</w:t>
      </w:r>
      <w:r>
        <w:rPr>
          <w:rFonts w:hint="eastAsia"/>
          <w:b/>
          <w:highlight w:val="none"/>
        </w:rPr>
        <w:t>项目保证金，</w:t>
      </w:r>
      <w:r>
        <w:rPr>
          <w:rFonts w:hint="eastAsia"/>
          <w:bCs/>
          <w:highlight w:val="none"/>
        </w:rPr>
        <w:t>逾期转入的投标方将无法参与招投标。</w:t>
      </w:r>
    </w:p>
    <w:p w14:paraId="75182ED7">
      <w:pPr>
        <w:pStyle w:val="7"/>
        <w:spacing w:line="360" w:lineRule="auto"/>
        <w:ind w:firstLine="420"/>
        <w:rPr>
          <w:rFonts w:hint="eastAsia" w:hAnsi="宋体"/>
          <w:bCs/>
          <w:highlight w:val="none"/>
        </w:rPr>
      </w:pPr>
      <w:r>
        <w:rPr>
          <w:rFonts w:hint="eastAsia" w:hAnsi="宋体"/>
          <w:bCs/>
          <w:highlight w:val="none"/>
        </w:rPr>
        <w:t>（</w:t>
      </w:r>
      <w:r>
        <w:rPr>
          <w:rFonts w:hAnsi="宋体"/>
          <w:bCs/>
          <w:highlight w:val="none"/>
        </w:rPr>
        <w:t>3</w:t>
      </w:r>
      <w:r>
        <w:rPr>
          <w:rFonts w:hint="eastAsia" w:hAnsi="宋体"/>
          <w:bCs/>
          <w:highlight w:val="none"/>
        </w:rPr>
        <w:t>）发生以下情况时，有权没收保证金：</w:t>
      </w:r>
    </w:p>
    <w:p w14:paraId="19E8B5EC">
      <w:pPr>
        <w:pStyle w:val="7"/>
        <w:spacing w:line="360" w:lineRule="auto"/>
        <w:ind w:firstLine="420" w:firstLineChars="200"/>
        <w:rPr>
          <w:rFonts w:hint="eastAsia" w:hAnsi="宋体"/>
          <w:bCs/>
          <w:highlight w:val="none"/>
        </w:rPr>
      </w:pPr>
      <w:r>
        <w:rPr>
          <w:rFonts w:hint="eastAsia" w:hAnsi="宋体"/>
          <w:bCs/>
          <w:highlight w:val="none"/>
        </w:rPr>
        <w:t>①截至开标前，投标方无正当理由、未以书面形式递交说明而在投标截止日不来投标的；</w:t>
      </w:r>
    </w:p>
    <w:p w14:paraId="09DEB731">
      <w:pPr>
        <w:pStyle w:val="7"/>
        <w:spacing w:line="360" w:lineRule="auto"/>
        <w:ind w:firstLine="420" w:firstLineChars="200"/>
        <w:rPr>
          <w:rFonts w:hint="eastAsia" w:hAnsi="宋体"/>
          <w:bCs/>
          <w:highlight w:val="none"/>
        </w:rPr>
      </w:pPr>
      <w:r>
        <w:rPr>
          <w:rFonts w:hint="eastAsia" w:hAnsi="宋体"/>
          <w:bCs/>
          <w:highlight w:val="none"/>
        </w:rPr>
        <w:t>②投标方递送文件后，无正当理由放弃投标的；</w:t>
      </w:r>
    </w:p>
    <w:p w14:paraId="2A05477B">
      <w:pPr>
        <w:pStyle w:val="7"/>
        <w:spacing w:line="360" w:lineRule="auto"/>
        <w:ind w:firstLine="420" w:firstLineChars="200"/>
        <w:rPr>
          <w:rFonts w:hint="eastAsia" w:hAnsi="宋体"/>
          <w:bCs/>
          <w:highlight w:val="none"/>
        </w:rPr>
      </w:pPr>
      <w:r>
        <w:rPr>
          <w:rFonts w:hint="eastAsia" w:hAnsi="宋体"/>
          <w:bCs/>
          <w:highlight w:val="none"/>
        </w:rPr>
        <w:t>③自中标（成交）通知书发出之日起 30 日内，中标（成交）方无正当理由不签订合同的；</w:t>
      </w:r>
    </w:p>
    <w:p w14:paraId="3D6BB62E">
      <w:pPr>
        <w:pStyle w:val="7"/>
        <w:spacing w:line="360" w:lineRule="auto"/>
        <w:ind w:firstLine="420" w:firstLineChars="200"/>
        <w:rPr>
          <w:rFonts w:hint="eastAsia" w:hAnsi="宋体"/>
          <w:bCs/>
          <w:highlight w:val="none"/>
        </w:rPr>
      </w:pPr>
      <w:r>
        <w:rPr>
          <w:rFonts w:hint="eastAsia" w:hAnsi="宋体"/>
          <w:bCs/>
          <w:highlight w:val="none"/>
        </w:rPr>
        <w:t>④投标过程中被查实有串标、围标、陪标等违规违纪行为的；</w:t>
      </w:r>
    </w:p>
    <w:p w14:paraId="4C17C8D3">
      <w:pPr>
        <w:pStyle w:val="7"/>
        <w:spacing w:line="360" w:lineRule="auto"/>
        <w:ind w:firstLine="420" w:firstLineChars="200"/>
        <w:rPr>
          <w:rFonts w:hAnsi="宋体"/>
          <w:bCs/>
          <w:highlight w:val="none"/>
        </w:rPr>
      </w:pPr>
      <w:r>
        <w:rPr>
          <w:rFonts w:hint="eastAsia" w:hAnsi="宋体"/>
          <w:bCs/>
          <w:highlight w:val="none"/>
        </w:rPr>
        <w:t>⑤投标方有违约违规行为或被投诉、举报的，在调查处理期间，保证金暂不退还，待调查处理结束后按有关规定处理。</w:t>
      </w:r>
    </w:p>
    <w:p w14:paraId="439D5F82">
      <w:pPr>
        <w:pStyle w:val="7"/>
        <w:numPr>
          <w:ilvl w:val="0"/>
          <w:numId w:val="4"/>
        </w:numPr>
        <w:spacing w:line="360" w:lineRule="auto"/>
        <w:ind w:firstLine="420" w:firstLineChars="200"/>
        <w:rPr>
          <w:rFonts w:hint="eastAsia"/>
          <w:bCs/>
          <w:highlight w:val="none"/>
        </w:rPr>
      </w:pPr>
      <w:r>
        <w:rPr>
          <w:rFonts w:hint="eastAsia"/>
          <w:bCs/>
          <w:highlight w:val="none"/>
        </w:rPr>
        <w:t>保证金转账需使用公司对公账户，不得使用私人账户。不存在以上违规情况的投标方，招标方</w:t>
      </w:r>
      <w:r>
        <w:rPr>
          <w:bCs/>
          <w:highlight w:val="none"/>
        </w:rPr>
        <w:t>在</w:t>
      </w:r>
      <w:r>
        <w:rPr>
          <w:rFonts w:hint="eastAsia"/>
          <w:bCs/>
          <w:highlight w:val="none"/>
        </w:rPr>
        <w:t>确定中标方</w:t>
      </w:r>
      <w:r>
        <w:rPr>
          <w:bCs/>
          <w:highlight w:val="none"/>
        </w:rPr>
        <w:t>后1-2</w:t>
      </w:r>
      <w:r>
        <w:rPr>
          <w:rFonts w:hint="eastAsia"/>
          <w:bCs/>
          <w:highlight w:val="none"/>
        </w:rPr>
        <w:t>个付款周期</w:t>
      </w:r>
      <w:r>
        <w:rPr>
          <w:rFonts w:hAnsi="宋体"/>
          <w:bCs/>
          <w:highlight w:val="none"/>
        </w:rPr>
        <w:t>内无息退还投</w:t>
      </w:r>
      <w:r>
        <w:rPr>
          <w:bCs/>
          <w:highlight w:val="none"/>
        </w:rPr>
        <w:t>标保证金</w:t>
      </w:r>
      <w:r>
        <w:rPr>
          <w:rFonts w:hint="eastAsia"/>
          <w:bCs/>
          <w:highlight w:val="none"/>
        </w:rPr>
        <w:t>本金给未中标的投标人。</w:t>
      </w:r>
    </w:p>
    <w:p w14:paraId="1A126299">
      <w:pPr>
        <w:pStyle w:val="7"/>
        <w:spacing w:line="360" w:lineRule="auto"/>
        <w:ind w:firstLine="422" w:firstLineChars="200"/>
        <w:rPr>
          <w:rFonts w:hint="eastAsia" w:eastAsia="宋体"/>
          <w:b/>
          <w:highlight w:val="none"/>
          <w:lang w:eastAsia="zh-CN"/>
        </w:rPr>
      </w:pPr>
      <w:r>
        <w:rPr>
          <w:rFonts w:hint="eastAsia"/>
          <w:b/>
          <w:highlight w:val="none"/>
          <w:lang w:val="en-US" w:eastAsia="zh-CN"/>
        </w:rPr>
        <w:t>3</w:t>
      </w:r>
      <w:r>
        <w:rPr>
          <w:rFonts w:hint="eastAsia"/>
          <w:b/>
          <w:highlight w:val="none"/>
        </w:rPr>
        <w:t>、</w:t>
      </w:r>
      <w:r>
        <w:rPr>
          <w:rFonts w:hint="eastAsia"/>
          <w:b/>
          <w:highlight w:val="none"/>
          <w:lang w:val="en-US" w:eastAsia="zh-CN"/>
        </w:rPr>
        <w:t>质保期</w:t>
      </w:r>
    </w:p>
    <w:p w14:paraId="7651E1FC">
      <w:pPr>
        <w:pStyle w:val="7"/>
        <w:numPr>
          <w:ilvl w:val="0"/>
          <w:numId w:val="0"/>
        </w:numPr>
        <w:spacing w:line="360" w:lineRule="auto"/>
        <w:ind w:firstLine="420" w:firstLineChars="200"/>
        <w:rPr>
          <w:rFonts w:hint="eastAsia"/>
          <w:bCs/>
          <w:highlight w:val="none"/>
        </w:rPr>
      </w:pPr>
      <w:r>
        <w:rPr>
          <w:rFonts w:hint="eastAsia"/>
          <w:bCs/>
          <w:highlight w:val="none"/>
        </w:rPr>
        <w:t>质保期：自验收文件最终签署之日起3年。</w:t>
      </w:r>
    </w:p>
    <w:p w14:paraId="722E790D">
      <w:pPr>
        <w:pStyle w:val="7"/>
        <w:spacing w:line="360" w:lineRule="auto"/>
        <w:ind w:firstLine="422" w:firstLineChars="200"/>
        <w:rPr>
          <w:rFonts w:hint="eastAsia"/>
          <w:b/>
          <w:highlight w:val="none"/>
          <w:lang w:val="en-US" w:eastAsia="zh-CN"/>
        </w:rPr>
      </w:pPr>
      <w:r>
        <w:rPr>
          <w:rFonts w:hint="eastAsia"/>
          <w:b/>
          <w:highlight w:val="none"/>
          <w:lang w:val="en-US" w:eastAsia="zh-CN"/>
        </w:rPr>
        <w:t>4、投标响应文件</w:t>
      </w:r>
    </w:p>
    <w:p w14:paraId="71615E97">
      <w:pPr>
        <w:pStyle w:val="7"/>
        <w:spacing w:line="360" w:lineRule="auto"/>
        <w:ind w:firstLine="420" w:firstLineChars="200"/>
        <w:rPr>
          <w:rFonts w:hint="eastAsia"/>
          <w:highlight w:val="none"/>
          <w:lang w:val="en-US" w:eastAsia="zh-CN"/>
        </w:rPr>
      </w:pPr>
      <w:r>
        <w:rPr>
          <w:rFonts w:hint="eastAsia"/>
          <w:highlight w:val="none"/>
          <w:lang w:val="en-US" w:eastAsia="zh-CN"/>
        </w:rPr>
        <w:t>包括资质文件、其他文件等，明细详见附件5</w:t>
      </w:r>
    </w:p>
    <w:p w14:paraId="24DCA517">
      <w:pPr>
        <w:pStyle w:val="7"/>
        <w:spacing w:line="360" w:lineRule="auto"/>
        <w:ind w:firstLine="422" w:firstLineChars="200"/>
        <w:rPr>
          <w:rFonts w:hint="default" w:eastAsia="宋体"/>
          <w:b/>
          <w:highlight w:val="none"/>
          <w:lang w:val="en-US" w:eastAsia="zh-CN"/>
        </w:rPr>
      </w:pPr>
      <w:r>
        <w:rPr>
          <w:rFonts w:hint="eastAsia"/>
          <w:b/>
          <w:highlight w:val="none"/>
          <w:lang w:val="en-US" w:eastAsia="zh-CN"/>
        </w:rPr>
        <w:t>5</w:t>
      </w:r>
      <w:r>
        <w:rPr>
          <w:rFonts w:hint="eastAsia"/>
          <w:b/>
          <w:highlight w:val="none"/>
        </w:rPr>
        <w:t>、</w:t>
      </w:r>
      <w:r>
        <w:rPr>
          <w:rFonts w:hint="eastAsia"/>
          <w:b/>
          <w:highlight w:val="none"/>
          <w:lang w:val="en-US" w:eastAsia="zh-CN"/>
        </w:rPr>
        <w:t>设备要求</w:t>
      </w:r>
    </w:p>
    <w:p w14:paraId="4AA10128">
      <w:pPr>
        <w:pStyle w:val="7"/>
        <w:spacing w:line="360" w:lineRule="auto"/>
        <w:ind w:firstLine="420" w:firstLineChars="200"/>
        <w:rPr>
          <w:rFonts w:hint="eastAsia"/>
          <w:highlight w:val="none"/>
          <w:lang w:val="en-US" w:eastAsia="zh-CN"/>
        </w:rPr>
      </w:pPr>
      <w:r>
        <w:rPr>
          <w:rFonts w:hint="eastAsia"/>
          <w:highlight w:val="none"/>
          <w:lang w:val="en-US" w:eastAsia="zh-CN"/>
        </w:rPr>
        <w:t>1、设备制造完毕经出厂检验合格后方能发货；</w:t>
      </w:r>
    </w:p>
    <w:p w14:paraId="6E54FB16">
      <w:pPr>
        <w:pStyle w:val="7"/>
        <w:spacing w:line="360" w:lineRule="auto"/>
        <w:ind w:firstLine="420" w:firstLineChars="200"/>
        <w:rPr>
          <w:rFonts w:hint="eastAsia"/>
          <w:highlight w:val="none"/>
          <w:lang w:val="en-US" w:eastAsia="zh-CN"/>
        </w:rPr>
      </w:pPr>
      <w:r>
        <w:rPr>
          <w:rFonts w:hint="eastAsia"/>
          <w:highlight w:val="none"/>
          <w:lang w:val="en-US" w:eastAsia="zh-CN"/>
        </w:rPr>
        <w:t>2、设备安装按国家或部颁标准执行；</w:t>
      </w:r>
    </w:p>
    <w:p w14:paraId="57498C43">
      <w:pPr>
        <w:pStyle w:val="7"/>
        <w:spacing w:line="360" w:lineRule="auto"/>
        <w:ind w:firstLine="420" w:firstLineChars="200"/>
        <w:rPr>
          <w:rFonts w:hint="eastAsia"/>
          <w:highlight w:val="none"/>
          <w:lang w:val="en-US" w:eastAsia="zh-CN"/>
        </w:rPr>
      </w:pPr>
      <w:r>
        <w:rPr>
          <w:rFonts w:hint="eastAsia"/>
          <w:highlight w:val="none"/>
          <w:lang w:val="en-US" w:eastAsia="zh-CN"/>
        </w:rPr>
        <w:t>3、设备交货要求直接发货至合同指定地点，否则买方有权拒绝接受货物；</w:t>
      </w:r>
    </w:p>
    <w:p w14:paraId="00B984F5">
      <w:pPr>
        <w:pStyle w:val="7"/>
        <w:spacing w:line="360" w:lineRule="auto"/>
        <w:ind w:firstLine="420" w:firstLineChars="200"/>
        <w:rPr>
          <w:rFonts w:hint="eastAsia"/>
          <w:highlight w:val="none"/>
          <w:lang w:val="en-US" w:eastAsia="zh-CN"/>
        </w:rPr>
      </w:pPr>
      <w:r>
        <w:rPr>
          <w:rFonts w:hint="eastAsia"/>
          <w:highlight w:val="none"/>
          <w:lang w:val="en-US" w:eastAsia="zh-CN"/>
        </w:rPr>
        <w:t>4、设备安装需满足来电自启、独立供电功能；</w:t>
      </w:r>
    </w:p>
    <w:p w14:paraId="0ADF21D3">
      <w:pPr>
        <w:pStyle w:val="7"/>
        <w:spacing w:line="360" w:lineRule="auto"/>
        <w:ind w:firstLine="422" w:firstLineChars="200"/>
        <w:rPr>
          <w:rFonts w:hint="default" w:eastAsia="宋体"/>
          <w:b/>
          <w:highlight w:val="none"/>
          <w:lang w:val="en-US" w:eastAsia="zh-CN"/>
        </w:rPr>
      </w:pPr>
      <w:r>
        <w:rPr>
          <w:rFonts w:hint="eastAsia"/>
          <w:b/>
          <w:highlight w:val="none"/>
          <w:lang w:val="en-US" w:eastAsia="zh-CN"/>
        </w:rPr>
        <w:t>6</w:t>
      </w:r>
      <w:r>
        <w:rPr>
          <w:rFonts w:hint="eastAsia"/>
          <w:b/>
          <w:highlight w:val="none"/>
        </w:rPr>
        <w:t>、</w:t>
      </w:r>
      <w:r>
        <w:rPr>
          <w:rFonts w:hint="eastAsia"/>
          <w:b/>
          <w:highlight w:val="none"/>
          <w:lang w:val="en-US" w:eastAsia="zh-CN"/>
        </w:rPr>
        <w:t>技术要求</w:t>
      </w:r>
    </w:p>
    <w:p w14:paraId="62AB6046">
      <w:pPr>
        <w:pStyle w:val="7"/>
        <w:spacing w:line="360" w:lineRule="auto"/>
        <w:ind w:firstLine="420" w:firstLineChars="200"/>
        <w:rPr>
          <w:rFonts w:hint="eastAsia"/>
          <w:highlight w:val="none"/>
          <w:lang w:val="en-US" w:eastAsia="zh-CN"/>
        </w:rPr>
      </w:pPr>
      <w:r>
        <w:rPr>
          <w:rFonts w:hint="eastAsia"/>
          <w:highlight w:val="none"/>
          <w:lang w:val="en-US" w:eastAsia="zh-CN"/>
        </w:rPr>
        <w:t>1、门禁及视频监控系统应具备发生网络问题时的数据漏传报警功能;电力或网络恢复正常时，软件应具备数据自动补传功能；</w:t>
      </w:r>
    </w:p>
    <w:p w14:paraId="0EE0717F">
      <w:pPr>
        <w:pStyle w:val="7"/>
        <w:spacing w:line="360" w:lineRule="auto"/>
        <w:ind w:firstLine="420" w:firstLineChars="200"/>
        <w:rPr>
          <w:rFonts w:hint="eastAsia"/>
          <w:highlight w:val="none"/>
          <w:lang w:val="en-US" w:eastAsia="zh-CN"/>
        </w:rPr>
      </w:pPr>
      <w:r>
        <w:rPr>
          <w:rFonts w:hint="eastAsia"/>
          <w:highlight w:val="none"/>
          <w:lang w:val="en-US" w:eastAsia="zh-CN"/>
        </w:rPr>
        <w:t>2、门禁及视频监控系统应具备进出厂车辆数据传输率(产生量/上传量)实时统计的功能，可生成日报等阶段报表。数据传输率统计信息应在门禁及视频监控系统管理页面中实时呈现。</w:t>
      </w:r>
    </w:p>
    <w:p w14:paraId="1218327C">
      <w:pPr>
        <w:pStyle w:val="7"/>
        <w:spacing w:line="360" w:lineRule="auto"/>
        <w:ind w:firstLine="420" w:firstLineChars="200"/>
        <w:rPr>
          <w:rFonts w:hint="eastAsia"/>
          <w:highlight w:val="none"/>
          <w:lang w:val="en-US" w:eastAsia="zh-CN"/>
        </w:rPr>
      </w:pPr>
      <w:r>
        <w:rPr>
          <w:rFonts w:hint="eastAsia"/>
          <w:highlight w:val="none"/>
          <w:lang w:val="en-US" w:eastAsia="zh-CN"/>
        </w:rPr>
        <w:t>3、满足门禁及视频监控系统与生态环境主管部门监管系统数据交换功能；</w:t>
      </w:r>
    </w:p>
    <w:p w14:paraId="093F4819">
      <w:pPr>
        <w:pStyle w:val="7"/>
        <w:spacing w:line="360" w:lineRule="auto"/>
        <w:ind w:firstLine="420" w:firstLineChars="200"/>
        <w:rPr>
          <w:rFonts w:hint="default"/>
          <w:highlight w:val="none"/>
          <w:lang w:val="en-US" w:eastAsia="zh-CN"/>
        </w:rPr>
      </w:pPr>
      <w:r>
        <w:rPr>
          <w:rFonts w:hint="eastAsia"/>
          <w:highlight w:val="none"/>
          <w:lang w:val="en-US" w:eastAsia="zh-CN"/>
        </w:rPr>
        <w:t>4、调试安装后符合《重点行业移动源监管与核查技术指南》HJ 1321-2023标准，应保证信息系统正常稳定运行。质保期三年内免费负责与HJ1321不满足问题整改。</w:t>
      </w:r>
    </w:p>
    <w:p w14:paraId="2E45A458">
      <w:pPr>
        <w:pStyle w:val="7"/>
        <w:spacing w:line="360" w:lineRule="auto"/>
        <w:ind w:firstLine="422" w:firstLineChars="200"/>
        <w:rPr>
          <w:rFonts w:hint="eastAsia"/>
          <w:b/>
          <w:highlight w:val="none"/>
        </w:rPr>
      </w:pPr>
      <w:r>
        <w:rPr>
          <w:rFonts w:hint="eastAsia"/>
          <w:b/>
          <w:highlight w:val="none"/>
          <w:lang w:val="en-US" w:eastAsia="zh-CN"/>
        </w:rPr>
        <w:t>7</w:t>
      </w:r>
      <w:r>
        <w:rPr>
          <w:rFonts w:hint="eastAsia"/>
          <w:b/>
          <w:highlight w:val="none"/>
        </w:rPr>
        <w:t>、报价</w:t>
      </w:r>
    </w:p>
    <w:p w14:paraId="19530E28">
      <w:pPr>
        <w:pStyle w:val="7"/>
        <w:spacing w:line="360" w:lineRule="auto"/>
        <w:ind w:firstLine="210" w:firstLineChars="100"/>
        <w:rPr>
          <w:rFonts w:hint="eastAsia"/>
          <w:highlight w:val="none"/>
        </w:rPr>
      </w:pPr>
      <w:r>
        <w:rPr>
          <w:rFonts w:hint="eastAsia"/>
          <w:highlight w:val="none"/>
        </w:rPr>
        <w:t>路径：招投标中心-非生产类招投标-供应商报价</w:t>
      </w:r>
    </w:p>
    <w:p w14:paraId="012B288B">
      <w:pPr>
        <w:pStyle w:val="7"/>
        <w:spacing w:line="360" w:lineRule="auto"/>
        <w:ind w:firstLine="210" w:firstLineChars="100"/>
        <w:rPr>
          <w:rFonts w:hint="eastAsia"/>
          <w:highlight w:val="none"/>
        </w:rPr>
      </w:pPr>
      <w:r>
        <w:rPr>
          <w:rFonts w:hint="eastAsia"/>
          <w:highlight w:val="none"/>
        </w:rPr>
        <w:t>点击报价按钮进入报价详情界面，请在此轮报价起止时间内报价，否则无法报价。</w:t>
      </w:r>
    </w:p>
    <w:p w14:paraId="2F55799E">
      <w:pPr>
        <w:pStyle w:val="7"/>
        <w:spacing w:line="360" w:lineRule="auto"/>
        <w:ind w:firstLine="210" w:firstLineChars="100"/>
        <w:rPr>
          <w:rFonts w:hint="eastAsia" w:hAnsi="宋体" w:cs="宋体"/>
          <w:szCs w:val="21"/>
          <w:highlight w:val="none"/>
        </w:rPr>
      </w:pPr>
      <w:r>
        <w:rPr>
          <w:rFonts w:hint="eastAsia"/>
          <w:highlight w:val="none"/>
        </w:rPr>
        <w:t>请注意，报价单位为万元含税</w:t>
      </w:r>
      <w:r>
        <w:rPr>
          <w:rFonts w:hint="eastAsia" w:hAnsi="宋体" w:cs="宋体"/>
          <w:szCs w:val="21"/>
          <w:highlight w:val="none"/>
        </w:rPr>
        <w:t>。</w:t>
      </w:r>
    </w:p>
    <w:p w14:paraId="7352D53E">
      <w:pPr>
        <w:pStyle w:val="7"/>
        <w:spacing w:line="360" w:lineRule="auto"/>
        <w:ind w:firstLine="210" w:firstLineChars="100"/>
        <w:rPr>
          <w:rFonts w:hint="eastAsia" w:hAnsi="宋体" w:cs="宋体"/>
          <w:szCs w:val="21"/>
          <w:highlight w:val="none"/>
        </w:rPr>
      </w:pPr>
      <w:r>
        <w:rPr>
          <w:rFonts w:hint="eastAsia"/>
        </w:rPr>
        <w:t>结算方式：</w:t>
      </w:r>
      <w:r>
        <w:rPr>
          <w:rFonts w:hint="eastAsia"/>
          <w:b/>
          <w:bCs/>
        </w:rPr>
        <w:t>半年期商业汇票支付</w:t>
      </w:r>
      <w:r>
        <w:rPr>
          <w:rFonts w:hint="eastAsia"/>
        </w:rPr>
        <w:t>（包括银行承兑汇票和商业承兑汇票）（需按招标人需求，开具相关税率的增值税专用发票）。</w:t>
      </w:r>
    </w:p>
    <w:p w14:paraId="6E2AC3CA">
      <w:pPr>
        <w:pStyle w:val="7"/>
        <w:numPr>
          <w:ilvl w:val="0"/>
          <w:numId w:val="0"/>
        </w:numPr>
        <w:spacing w:line="360" w:lineRule="auto"/>
        <w:rPr>
          <w:rFonts w:hint="eastAsia" w:ascii="黑体" w:eastAsia="黑体"/>
          <w:b/>
          <w:bCs/>
          <w:sz w:val="28"/>
          <w:szCs w:val="22"/>
          <w:highlight w:val="none"/>
        </w:rPr>
      </w:pPr>
      <w:r>
        <w:rPr>
          <w:rFonts w:hint="eastAsia" w:ascii="黑体" w:eastAsia="黑体"/>
          <w:b/>
          <w:bCs/>
          <w:sz w:val="28"/>
          <w:szCs w:val="22"/>
          <w:highlight w:val="none"/>
          <w:lang w:val="en-US" w:eastAsia="zh-CN"/>
        </w:rPr>
        <w:t>七、</w:t>
      </w:r>
      <w:r>
        <w:rPr>
          <w:rFonts w:hint="eastAsia" w:ascii="黑体" w:eastAsia="黑体"/>
          <w:b/>
          <w:bCs/>
          <w:sz w:val="28"/>
          <w:szCs w:val="22"/>
          <w:highlight w:val="none"/>
        </w:rPr>
        <w:t>时间安排</w:t>
      </w:r>
    </w:p>
    <w:p w14:paraId="3AF43392">
      <w:pPr>
        <w:pStyle w:val="7"/>
        <w:spacing w:line="360" w:lineRule="auto"/>
        <w:ind w:firstLine="420" w:firstLineChars="200"/>
        <w:rPr>
          <w:rFonts w:hint="eastAsia"/>
          <w:highlight w:val="none"/>
        </w:rPr>
      </w:pPr>
      <w:r>
        <w:rPr>
          <w:rFonts w:hint="eastAsia"/>
          <w:highlight w:val="none"/>
        </w:rPr>
        <w:t>1、</w:t>
      </w:r>
      <w:r>
        <w:rPr>
          <w:rFonts w:hint="eastAsia"/>
          <w:b/>
          <w:color w:val="000000"/>
          <w:highlight w:val="none"/>
        </w:rPr>
        <w:t>202</w:t>
      </w:r>
      <w:r>
        <w:rPr>
          <w:rFonts w:hint="eastAsia"/>
          <w:b/>
          <w:color w:val="000000"/>
          <w:highlight w:val="none"/>
          <w:lang w:val="en-US" w:eastAsia="zh-CN"/>
        </w:rPr>
        <w:t>5</w:t>
      </w:r>
      <w:r>
        <w:rPr>
          <w:rFonts w:hint="eastAsia"/>
          <w:b/>
          <w:color w:val="000000"/>
          <w:highlight w:val="none"/>
        </w:rPr>
        <w:t>年</w:t>
      </w:r>
      <w:r>
        <w:rPr>
          <w:rFonts w:hint="eastAsia"/>
          <w:b/>
          <w:color w:val="000000"/>
          <w:highlight w:val="none"/>
          <w:lang w:val="en-US" w:eastAsia="zh-CN"/>
        </w:rPr>
        <w:t>6</w:t>
      </w:r>
      <w:r>
        <w:rPr>
          <w:rFonts w:hint="eastAsia"/>
          <w:b/>
          <w:color w:val="000000"/>
          <w:highlight w:val="none"/>
        </w:rPr>
        <w:t>月</w:t>
      </w:r>
      <w:r>
        <w:rPr>
          <w:rFonts w:hint="eastAsia"/>
          <w:b/>
          <w:color w:val="000000"/>
          <w:highlight w:val="none"/>
          <w:lang w:val="en-US" w:eastAsia="zh-CN"/>
        </w:rPr>
        <w:t>8</w:t>
      </w:r>
      <w:r>
        <w:rPr>
          <w:rFonts w:hint="eastAsia"/>
          <w:b/>
          <w:color w:val="000000"/>
          <w:highlight w:val="none"/>
        </w:rPr>
        <w:t>日</w:t>
      </w:r>
      <w:r>
        <w:rPr>
          <w:rFonts w:hint="eastAsia"/>
          <w:b/>
          <w:color w:val="000000"/>
          <w:highlight w:val="none"/>
          <w:lang w:val="en-US" w:eastAsia="zh-CN"/>
        </w:rPr>
        <w:t>前</w:t>
      </w:r>
      <w:r>
        <w:rPr>
          <w:rFonts w:hint="eastAsia"/>
          <w:b/>
          <w:color w:val="000000"/>
          <w:highlight w:val="none"/>
        </w:rPr>
        <w:t>看</w:t>
      </w:r>
      <w:r>
        <w:rPr>
          <w:rFonts w:hint="eastAsia"/>
          <w:b/>
          <w:color w:val="000000"/>
          <w:highlight w:val="none"/>
          <w:lang w:val="en-US" w:eastAsia="zh-CN"/>
        </w:rPr>
        <w:t>现场勘察</w:t>
      </w:r>
      <w:r>
        <w:rPr>
          <w:rFonts w:hint="eastAsia"/>
          <w:b/>
          <w:color w:val="000000"/>
          <w:szCs w:val="22"/>
          <w:highlight w:val="none"/>
        </w:rPr>
        <w:t>。</w:t>
      </w:r>
    </w:p>
    <w:p w14:paraId="5727A063">
      <w:pPr>
        <w:pStyle w:val="7"/>
        <w:spacing w:line="360" w:lineRule="auto"/>
        <w:ind w:firstLine="420" w:firstLineChars="200"/>
        <w:rPr>
          <w:rFonts w:hint="eastAsia"/>
          <w:highlight w:val="none"/>
        </w:rPr>
      </w:pPr>
      <w:r>
        <w:rPr>
          <w:rFonts w:hint="eastAsia"/>
          <w:highlight w:val="none"/>
        </w:rPr>
        <w:t>2、投标保证金需在</w:t>
      </w:r>
      <w:r>
        <w:rPr>
          <w:rFonts w:hint="eastAsia"/>
          <w:b/>
          <w:color w:val="000000"/>
          <w:highlight w:val="none"/>
        </w:rPr>
        <w:t>202</w:t>
      </w:r>
      <w:r>
        <w:rPr>
          <w:rFonts w:hint="eastAsia"/>
          <w:b/>
          <w:color w:val="000000"/>
          <w:highlight w:val="none"/>
          <w:lang w:val="en-US" w:eastAsia="zh-CN"/>
        </w:rPr>
        <w:t>5</w:t>
      </w:r>
      <w:r>
        <w:rPr>
          <w:rFonts w:hint="eastAsia"/>
          <w:b/>
          <w:color w:val="000000"/>
          <w:highlight w:val="none"/>
        </w:rPr>
        <w:t>年</w:t>
      </w:r>
      <w:r>
        <w:rPr>
          <w:rFonts w:hint="eastAsia"/>
          <w:b/>
          <w:color w:val="000000"/>
          <w:highlight w:val="none"/>
          <w:lang w:val="en-US" w:eastAsia="zh-CN"/>
        </w:rPr>
        <w:t>6</w:t>
      </w:r>
      <w:r>
        <w:rPr>
          <w:rFonts w:hint="eastAsia"/>
          <w:b/>
          <w:color w:val="000000"/>
          <w:highlight w:val="none"/>
        </w:rPr>
        <w:t>月</w:t>
      </w:r>
      <w:r>
        <w:rPr>
          <w:rFonts w:hint="eastAsia"/>
          <w:b/>
          <w:color w:val="000000"/>
          <w:highlight w:val="none"/>
          <w:lang w:val="en-US" w:eastAsia="zh-CN"/>
        </w:rPr>
        <w:t>9</w:t>
      </w:r>
      <w:r>
        <w:rPr>
          <w:rFonts w:hint="eastAsia"/>
          <w:b/>
          <w:color w:val="000000"/>
          <w:highlight w:val="none"/>
        </w:rPr>
        <w:t>日17</w:t>
      </w:r>
      <w:r>
        <w:rPr>
          <w:rFonts w:hint="eastAsia"/>
          <w:highlight w:val="none"/>
        </w:rPr>
        <w:t>点前转入指定账户。</w:t>
      </w:r>
    </w:p>
    <w:p w14:paraId="0F8DD128">
      <w:pPr>
        <w:pStyle w:val="7"/>
        <w:spacing w:line="360" w:lineRule="auto"/>
        <w:ind w:firstLine="420" w:firstLineChars="200"/>
        <w:rPr>
          <w:rFonts w:hint="eastAsia"/>
          <w:b/>
          <w:szCs w:val="22"/>
          <w:highlight w:val="none"/>
          <w:lang w:val="en-US" w:eastAsia="zh-CN"/>
        </w:rPr>
      </w:pPr>
      <w:r>
        <w:rPr>
          <w:rFonts w:hint="eastAsia"/>
          <w:szCs w:val="22"/>
          <w:highlight w:val="none"/>
        </w:rPr>
        <w:t>3、开标时间：网上开标，</w:t>
      </w:r>
      <w:r>
        <w:rPr>
          <w:rFonts w:hint="eastAsia"/>
          <w:b/>
          <w:szCs w:val="22"/>
          <w:highlight w:val="none"/>
        </w:rPr>
        <w:t>202</w:t>
      </w:r>
      <w:r>
        <w:rPr>
          <w:rFonts w:hint="eastAsia"/>
          <w:b/>
          <w:szCs w:val="22"/>
          <w:highlight w:val="none"/>
          <w:lang w:val="en-US" w:eastAsia="zh-CN"/>
        </w:rPr>
        <w:t>5</w:t>
      </w:r>
      <w:r>
        <w:rPr>
          <w:rFonts w:hint="eastAsia"/>
          <w:b/>
          <w:szCs w:val="22"/>
          <w:highlight w:val="none"/>
        </w:rPr>
        <w:t>年</w:t>
      </w:r>
      <w:r>
        <w:rPr>
          <w:rFonts w:hint="eastAsia"/>
          <w:b/>
          <w:szCs w:val="22"/>
          <w:highlight w:val="none"/>
          <w:lang w:val="en-US" w:eastAsia="zh-CN"/>
        </w:rPr>
        <w:t>6</w:t>
      </w:r>
      <w:r>
        <w:rPr>
          <w:rFonts w:hint="eastAsia"/>
          <w:b/>
          <w:szCs w:val="22"/>
          <w:highlight w:val="none"/>
        </w:rPr>
        <w:t>月</w:t>
      </w:r>
      <w:r>
        <w:rPr>
          <w:rFonts w:hint="eastAsia"/>
          <w:b/>
          <w:szCs w:val="22"/>
          <w:highlight w:val="none"/>
          <w:lang w:val="en-US" w:eastAsia="zh-CN"/>
        </w:rPr>
        <w:t>10</w:t>
      </w:r>
      <w:r>
        <w:rPr>
          <w:rFonts w:hint="eastAsia"/>
          <w:b/>
          <w:szCs w:val="22"/>
          <w:highlight w:val="none"/>
        </w:rPr>
        <w:t>日</w:t>
      </w:r>
      <w:r>
        <w:rPr>
          <w:rFonts w:hint="eastAsia"/>
          <w:b/>
          <w:szCs w:val="22"/>
          <w:highlight w:val="none"/>
          <w:lang w:val="en-US" w:eastAsia="zh-CN"/>
        </w:rPr>
        <w:t>9:00</w:t>
      </w:r>
      <w:r>
        <w:rPr>
          <w:rFonts w:hint="eastAsia"/>
          <w:b/>
          <w:szCs w:val="22"/>
          <w:highlight w:val="none"/>
        </w:rPr>
        <w:t>开标。</w:t>
      </w:r>
      <w:r>
        <w:rPr>
          <w:rFonts w:hint="eastAsia"/>
          <w:b/>
          <w:szCs w:val="22"/>
          <w:highlight w:val="none"/>
          <w:lang w:val="en-US" w:eastAsia="zh-CN"/>
        </w:rPr>
        <w:t>（若有变动另行通知）</w:t>
      </w:r>
    </w:p>
    <w:p w14:paraId="6832471B">
      <w:pPr>
        <w:pStyle w:val="7"/>
        <w:spacing w:line="360" w:lineRule="auto"/>
        <w:rPr>
          <w:rFonts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、评标办法</w:t>
      </w:r>
    </w:p>
    <w:p w14:paraId="2F9CB5F4">
      <w:pPr>
        <w:pStyle w:val="7"/>
        <w:spacing w:line="360" w:lineRule="auto"/>
        <w:ind w:firstLine="420" w:firstLineChars="200"/>
        <w:rPr>
          <w:rFonts w:hint="eastAsia"/>
          <w:highlight w:val="none"/>
        </w:rPr>
      </w:pPr>
      <w:r>
        <w:rPr>
          <w:rFonts w:hint="eastAsia"/>
          <w:highlight w:val="none"/>
        </w:rPr>
        <w:t>评标工作由招标人为该项目依法组织的、由三人或三人以上单数成员（视标的额大小按规定确定专家人数）组成的评标专家小组负责，采用投标最低价中标，即由评标工作小组按照国家招投标有关规定，本着公平、公正、公开、有序的原则，在满足招标文件实质性要求和技术要求的前提下，招标专家组可与投标人进行两轮或以上商务谈判，对最终报价最低的投标方确定推荐中标人，仅一家中标。</w:t>
      </w:r>
    </w:p>
    <w:p w14:paraId="43E2BD28">
      <w:pPr>
        <w:pStyle w:val="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ascii="宋体" w:eastAsia="宋体"/>
          <w:bCs/>
          <w:highlight w:val="none"/>
          <w:lang w:val="en-US" w:eastAsia="zh-CN"/>
        </w:rPr>
        <w:t>评标流程：应标资格审查： 在“中国重汽 e 采通”应标报名时，按照第二部分投标文件组成资格证明文件中的要求准备资料， 上传完毕后，等待审核；通过应标资格审查的单位进入投标环节，按照“ SRM 系统供应商用户手册”，在重汽 e 采通平台投递电子标书（包含资质标、商务标） ； 没有通过应标资质审查的单位不能进入投标环节；</w:t>
      </w:r>
    </w:p>
    <w:p w14:paraId="6F6FB592">
      <w:pPr>
        <w:pStyle w:val="7"/>
        <w:spacing w:line="360" w:lineRule="auto"/>
        <w:rPr>
          <w:rFonts w:hint="eastAsia" w:ascii="黑体" w:eastAsia="黑体"/>
          <w:b/>
          <w:bCs/>
          <w:sz w:val="28"/>
          <w:szCs w:val="22"/>
          <w:highlight w:val="none"/>
        </w:rPr>
      </w:pPr>
      <w:r>
        <w:rPr>
          <w:rFonts w:hint="eastAsia" w:ascii="黑体" w:eastAsia="黑体"/>
          <w:b/>
          <w:bCs/>
          <w:sz w:val="28"/>
          <w:szCs w:val="22"/>
          <w:highlight w:val="none"/>
          <w:lang w:val="en-US" w:eastAsia="zh-CN"/>
        </w:rPr>
        <w:t>九</w:t>
      </w:r>
      <w:r>
        <w:rPr>
          <w:rFonts w:hint="eastAsia" w:ascii="黑体" w:eastAsia="黑体"/>
          <w:b/>
          <w:bCs/>
          <w:sz w:val="28"/>
          <w:szCs w:val="22"/>
          <w:highlight w:val="none"/>
        </w:rPr>
        <w:t>、合同签订</w:t>
      </w:r>
    </w:p>
    <w:p w14:paraId="4C3B845A">
      <w:pPr>
        <w:spacing w:line="520" w:lineRule="exact"/>
        <w:ind w:right="2" w:firstLine="420" w:firstLineChars="200"/>
        <w:rPr>
          <w:rFonts w:hint="eastAsia" w:ascii="宋体" w:hAnsi="Courier New"/>
          <w:highlight w:val="none"/>
        </w:rPr>
      </w:pPr>
      <w:r>
        <w:rPr>
          <w:rFonts w:hint="eastAsia" w:ascii="宋体" w:hAnsi="Courier New"/>
          <w:highlight w:val="none"/>
        </w:rPr>
        <w:t>1）根据评标工作小组的评标结果并按相关法律法规的规定及公司相关制度要求，确定中标人。中标人承诺无条件服从招标人针对该项目的后续所有安排。招标人不对未中标人做任何解释。</w:t>
      </w:r>
    </w:p>
    <w:p w14:paraId="19EB3575">
      <w:pPr>
        <w:spacing w:line="520" w:lineRule="exact"/>
        <w:ind w:right="2" w:firstLine="420" w:firstLineChars="200"/>
        <w:rPr>
          <w:rFonts w:hint="eastAsia" w:ascii="宋体" w:hAnsi="Courier New"/>
          <w:highlight w:val="none"/>
        </w:rPr>
      </w:pPr>
      <w:r>
        <w:rPr>
          <w:rFonts w:hint="eastAsia" w:ascii="宋体" w:hAnsi="Courier New"/>
          <w:highlight w:val="none"/>
        </w:rPr>
        <w:t>2）招标人发送《中标通知书》给中标人，中标人应及时与招标人联系，在招标人要求的时间内完成合同签订，如果中标人接到《中标通知书》后，无正当理由拒绝按其规定的期限签订合同或在签订合同时向招标人提出附加条件或者更改合同实质性内容的，招标人有权取消其中标资格，招标人将从剩余投标人中依序重新确定中标人，或重新组织招标。</w:t>
      </w:r>
    </w:p>
    <w:p w14:paraId="415ED48E">
      <w:pPr>
        <w:spacing w:line="520" w:lineRule="exact"/>
        <w:ind w:right="2" w:firstLine="420" w:firstLineChars="200"/>
        <w:rPr>
          <w:rFonts w:hint="eastAsia" w:ascii="宋体" w:hAnsi="Courier New"/>
          <w:highlight w:val="none"/>
        </w:rPr>
      </w:pPr>
      <w:r>
        <w:rPr>
          <w:rFonts w:hint="eastAsia" w:ascii="宋体" w:hAnsi="Courier New"/>
          <w:highlight w:val="none"/>
        </w:rPr>
        <w:t>3）</w:t>
      </w:r>
      <w:r>
        <w:rPr>
          <w:rFonts w:hint="eastAsia" w:ascii="宋体" w:hAnsi="Courier New"/>
        </w:rPr>
        <w:t>中标方收到中标通知后7个工作日内完成签订合同，合同期一年。</w:t>
      </w:r>
      <w:r>
        <w:rPr>
          <w:rFonts w:hint="eastAsia" w:ascii="宋体" w:hAnsi="Courier New"/>
          <w:highlight w:val="none"/>
        </w:rPr>
        <w:t>中标人应在保证质量的前提下完成中标项目，不得将中标项目转包或分包给他人，否则视为违约，招标人有权解除合同。</w:t>
      </w:r>
    </w:p>
    <w:p w14:paraId="0484B72C">
      <w:pPr>
        <w:spacing w:line="520" w:lineRule="exact"/>
        <w:ind w:right="2" w:firstLine="420" w:firstLineChars="200"/>
        <w:rPr>
          <w:rFonts w:hint="eastAsia" w:ascii="宋体" w:hAnsi="Courier New"/>
          <w:highlight w:val="none"/>
        </w:rPr>
      </w:pPr>
      <w:r>
        <w:rPr>
          <w:rFonts w:hint="eastAsia" w:ascii="宋体" w:hAnsi="Courier New"/>
          <w:highlight w:val="none"/>
          <w:lang w:val="en-US" w:eastAsia="zh-CN"/>
        </w:rPr>
        <w:t>4</w:t>
      </w:r>
      <w:r>
        <w:rPr>
          <w:rFonts w:hint="eastAsia" w:ascii="宋体" w:hAnsi="Courier New"/>
          <w:highlight w:val="none"/>
        </w:rPr>
        <w:t>）招标人与中标人签署相关合同，具体权利义务以双方最终签署的合同为准。</w:t>
      </w:r>
    </w:p>
    <w:p w14:paraId="0928994F">
      <w:pPr>
        <w:spacing w:line="520" w:lineRule="exact"/>
        <w:ind w:right="2" w:firstLine="420" w:firstLineChars="200"/>
        <w:rPr>
          <w:rFonts w:hint="eastAsia" w:ascii="宋体" w:hAnsi="Courier New"/>
          <w:highlight w:val="none"/>
        </w:rPr>
      </w:pPr>
      <w:r>
        <w:rPr>
          <w:rFonts w:hint="eastAsia" w:ascii="宋体" w:hAnsi="Courier New"/>
          <w:highlight w:val="none"/>
          <w:lang w:val="en-US" w:eastAsia="zh-CN"/>
        </w:rPr>
        <w:t>5</w:t>
      </w:r>
      <w:r>
        <w:rPr>
          <w:rFonts w:hint="eastAsia" w:ascii="宋体" w:hAnsi="Courier New"/>
          <w:highlight w:val="none"/>
        </w:rPr>
        <w:t>）中标人须认可由于招标人上级集团公司政策变化引起的合同签订前终止项目的要求。</w:t>
      </w:r>
    </w:p>
    <w:p w14:paraId="0575001C">
      <w:pPr>
        <w:pStyle w:val="7"/>
        <w:spacing w:line="360" w:lineRule="auto"/>
        <w:rPr>
          <w:rFonts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、中标人瑕疵滞后发现的处理原则</w:t>
      </w:r>
    </w:p>
    <w:p w14:paraId="5CE11EFB">
      <w:pPr>
        <w:spacing w:line="520" w:lineRule="exact"/>
        <w:ind w:firstLine="420" w:firstLineChars="200"/>
        <w:rPr>
          <w:rFonts w:hint="eastAsia" w:ascii="宋体" w:hAnsi="Courier New"/>
          <w:highlight w:val="none"/>
        </w:rPr>
      </w:pPr>
      <w:r>
        <w:rPr>
          <w:rFonts w:ascii="宋体" w:hAnsi="Courier New"/>
          <w:highlight w:val="none"/>
        </w:rPr>
        <w:t xml:space="preserve"> </w:t>
      </w: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7C60C4EB">
      <w:pPr>
        <w:pStyle w:val="7"/>
        <w:spacing w:line="360" w:lineRule="auto"/>
        <w:rPr>
          <w:rFonts w:ascii="黑体" w:eastAsia="黑体"/>
          <w:b/>
          <w:bCs/>
          <w:sz w:val="28"/>
          <w:highlight w:val="none"/>
        </w:rPr>
      </w:pPr>
      <w:r>
        <w:rPr>
          <w:rFonts w:hint="eastAsia" w:ascii="黑体" w:eastAsia="黑体"/>
          <w:b/>
          <w:bCs/>
          <w:sz w:val="28"/>
          <w:highlight w:val="none"/>
          <w:lang w:val="en-US" w:eastAsia="zh-CN"/>
        </w:rPr>
        <w:t>十一</w:t>
      </w:r>
      <w:r>
        <w:rPr>
          <w:rFonts w:hint="eastAsia" w:ascii="黑体" w:eastAsia="黑体"/>
          <w:b/>
          <w:bCs/>
          <w:sz w:val="28"/>
          <w:highlight w:val="none"/>
        </w:rPr>
        <w:t>、废标及终止招标</w:t>
      </w:r>
    </w:p>
    <w:p w14:paraId="1BBCE0FA">
      <w:pPr>
        <w:spacing w:line="520" w:lineRule="exact"/>
        <w:ind w:right="2" w:firstLine="420" w:firstLineChars="200"/>
        <w:rPr>
          <w:rFonts w:ascii="宋体" w:hAnsi="Courier New"/>
          <w:highlight w:val="none"/>
        </w:rPr>
      </w:pPr>
      <w:r>
        <w:rPr>
          <w:rFonts w:hint="eastAsia" w:ascii="宋体" w:hAnsi="Courier New"/>
          <w:highlight w:val="none"/>
        </w:rPr>
        <w:t>1、投标方有下列情形之一，其投标将被视为废标，招标方将严格按照《中华人民共和国招标投标法》及相关法律、法规及规章制度的规定行使权利。投标方给招标方造成损失的，招标方有索赔的权利，投标方应予以赔偿。</w:t>
      </w:r>
    </w:p>
    <w:p w14:paraId="0F3D5167">
      <w:pPr>
        <w:spacing w:line="520" w:lineRule="exact"/>
        <w:ind w:right="2" w:firstLine="420" w:firstLineChars="200"/>
        <w:rPr>
          <w:rFonts w:ascii="宋体" w:hAnsi="Courier New"/>
          <w:highlight w:val="none"/>
        </w:rPr>
      </w:pPr>
      <w:r>
        <w:rPr>
          <w:rFonts w:hint="eastAsia" w:ascii="宋体" w:hAnsi="Courier New"/>
          <w:highlight w:val="none"/>
        </w:rPr>
        <w:t>（1）投标方提供的有关资格、资质证明文件不合格、不真实或提供虚假投标材料；</w:t>
      </w:r>
    </w:p>
    <w:p w14:paraId="0E35D25B">
      <w:pPr>
        <w:spacing w:line="520" w:lineRule="exact"/>
        <w:ind w:right="2" w:firstLine="420" w:firstLineChars="200"/>
        <w:rPr>
          <w:rFonts w:ascii="宋体" w:hAnsi="Courier New"/>
          <w:highlight w:val="none"/>
        </w:rPr>
      </w:pPr>
      <w:r>
        <w:rPr>
          <w:rFonts w:hint="eastAsia" w:ascii="宋体" w:hAnsi="Courier New"/>
          <w:highlight w:val="none"/>
        </w:rPr>
        <w:t>（2）投标文件未按附件一的要求和格式编制填写，或内容不全；</w:t>
      </w:r>
    </w:p>
    <w:p w14:paraId="1B7B62AC">
      <w:pPr>
        <w:spacing w:line="520" w:lineRule="exact"/>
        <w:ind w:right="2" w:firstLine="420" w:firstLineChars="200"/>
        <w:rPr>
          <w:rFonts w:ascii="宋体" w:hAnsi="Courier New"/>
          <w:highlight w:val="none"/>
        </w:rPr>
      </w:pPr>
      <w:r>
        <w:rPr>
          <w:rFonts w:hint="eastAsia" w:ascii="宋体" w:hAnsi="Courier New"/>
          <w:highlight w:val="none"/>
        </w:rPr>
        <w:t>（3）投标方在报价有效期内撤回投标；</w:t>
      </w:r>
    </w:p>
    <w:p w14:paraId="6DA32C03">
      <w:pPr>
        <w:spacing w:line="520" w:lineRule="exact"/>
        <w:ind w:right="2" w:firstLine="420" w:firstLineChars="200"/>
        <w:rPr>
          <w:rFonts w:ascii="宋体" w:hAnsi="Courier New"/>
          <w:highlight w:val="none"/>
        </w:rPr>
      </w:pPr>
      <w:r>
        <w:rPr>
          <w:rFonts w:hint="eastAsia" w:ascii="宋体" w:hAnsi="Courier New"/>
          <w:highlight w:val="none"/>
        </w:rPr>
        <w:t>（4）在整个评标过程中，投标方有企图影响评标结果公正性的任何活动；</w:t>
      </w:r>
    </w:p>
    <w:p w14:paraId="2EB2B3E6">
      <w:pPr>
        <w:spacing w:line="520" w:lineRule="exact"/>
        <w:ind w:right="2" w:firstLine="420" w:firstLineChars="200"/>
        <w:rPr>
          <w:rFonts w:ascii="宋体" w:hAnsi="Courier New"/>
          <w:highlight w:val="none"/>
        </w:rPr>
      </w:pPr>
      <w:r>
        <w:rPr>
          <w:rFonts w:hint="eastAsia" w:ascii="宋体" w:hAnsi="Courier New"/>
          <w:highlight w:val="none"/>
        </w:rPr>
        <w:t>（5）投标方以任何方式诋毁其他投标方；</w:t>
      </w:r>
    </w:p>
    <w:p w14:paraId="7CEB867D">
      <w:pPr>
        <w:spacing w:line="520" w:lineRule="exact"/>
        <w:ind w:right="2" w:firstLine="420" w:firstLineChars="200"/>
        <w:rPr>
          <w:rFonts w:ascii="宋体" w:hAnsi="Courier New"/>
          <w:highlight w:val="none"/>
        </w:rPr>
      </w:pPr>
      <w:r>
        <w:rPr>
          <w:rFonts w:hint="eastAsia" w:ascii="宋体" w:hAnsi="Courier New"/>
          <w:highlight w:val="none"/>
        </w:rPr>
        <w:t>（6）投标方串通投标；</w:t>
      </w:r>
    </w:p>
    <w:p w14:paraId="46A68723">
      <w:pPr>
        <w:spacing w:line="520" w:lineRule="exact"/>
        <w:ind w:right="2" w:firstLine="420" w:firstLineChars="200"/>
        <w:rPr>
          <w:rFonts w:ascii="宋体" w:hAnsi="Courier New"/>
          <w:highlight w:val="none"/>
        </w:rPr>
      </w:pPr>
      <w:r>
        <w:rPr>
          <w:rFonts w:hint="eastAsia" w:ascii="宋体" w:hAnsi="Courier New"/>
          <w:highlight w:val="none"/>
        </w:rPr>
        <w:t>（7）投标文件逾期未送达；</w:t>
      </w:r>
    </w:p>
    <w:p w14:paraId="054AF2D1">
      <w:pPr>
        <w:spacing w:line="520" w:lineRule="exact"/>
        <w:ind w:right="2" w:firstLine="420" w:firstLineChars="200"/>
        <w:rPr>
          <w:rFonts w:hint="eastAsia" w:ascii="宋体" w:hAnsi="Courier New"/>
          <w:highlight w:val="none"/>
        </w:rPr>
      </w:pPr>
      <w:r>
        <w:rPr>
          <w:rFonts w:hint="eastAsia" w:ascii="宋体" w:hAnsi="Courier New"/>
          <w:highlight w:val="none"/>
        </w:rPr>
        <w:t>（8）法律、法规规定的其他情况。</w:t>
      </w:r>
    </w:p>
    <w:p w14:paraId="7867ADDC">
      <w:pPr>
        <w:spacing w:line="520" w:lineRule="exact"/>
        <w:ind w:right="2" w:firstLine="420" w:firstLineChars="200"/>
        <w:rPr>
          <w:rFonts w:hint="eastAsia" w:ascii="宋体" w:hAnsi="Courier New" w:eastAsia="宋体"/>
          <w:highlight w:val="none"/>
          <w:lang w:eastAsia="zh-CN"/>
        </w:rPr>
      </w:pPr>
      <w:r>
        <w:rPr>
          <w:rFonts w:hint="eastAsia" w:ascii="宋体" w:hAnsi="Courier New"/>
          <w:highlight w:val="none"/>
          <w:lang w:eastAsia="zh-CN"/>
        </w:rPr>
        <w:t>（</w:t>
      </w:r>
      <w:r>
        <w:rPr>
          <w:rFonts w:hint="eastAsia" w:ascii="宋体" w:hAnsi="Courier New"/>
          <w:highlight w:val="none"/>
          <w:lang w:val="en-US" w:eastAsia="zh-CN"/>
        </w:rPr>
        <w:t>9</w:t>
      </w:r>
      <w:r>
        <w:rPr>
          <w:rFonts w:hint="eastAsia" w:ascii="宋体" w:hAnsi="Courier New"/>
          <w:highlight w:val="none"/>
          <w:lang w:eastAsia="zh-CN"/>
        </w:rPr>
        <w:t>）</w:t>
      </w:r>
      <w:r>
        <w:rPr>
          <w:rFonts w:hint="eastAsia" w:ascii="宋体" w:hAnsi="Courier New"/>
          <w:highlight w:val="none"/>
        </w:rPr>
        <w:t>中标人由于履行义务的能力或信用有严重缺陷，其余投标人中依序重新确定中标人，或重新组织招标。招标人有权取消其中标资格，招标人将从剩余投标人中依序重新确定中标人，或重新组织招标。</w:t>
      </w:r>
    </w:p>
    <w:p w14:paraId="3E6D1519">
      <w:pPr>
        <w:spacing w:line="520" w:lineRule="exact"/>
        <w:ind w:right="2" w:firstLine="420" w:firstLineChars="200"/>
        <w:rPr>
          <w:rFonts w:ascii="宋体" w:hAnsi="Courier New"/>
          <w:highlight w:val="none"/>
        </w:rPr>
      </w:pPr>
      <w:r>
        <w:rPr>
          <w:rFonts w:hint="eastAsia" w:ascii="宋体" w:hAnsi="Courier New"/>
          <w:highlight w:val="none"/>
        </w:rPr>
        <w:t>2、出现下列情形之一，招标方有权否决所有投标方的投标，并终止招标。</w:t>
      </w:r>
    </w:p>
    <w:p w14:paraId="41ECFB97">
      <w:pPr>
        <w:spacing w:line="520" w:lineRule="exact"/>
        <w:ind w:right="2" w:firstLine="420" w:firstLineChars="200"/>
        <w:rPr>
          <w:rFonts w:ascii="宋体" w:hAnsi="Courier New"/>
          <w:highlight w:val="none"/>
        </w:rPr>
      </w:pPr>
      <w:r>
        <w:rPr>
          <w:rFonts w:hint="eastAsia" w:ascii="宋体" w:hAnsi="Courier New"/>
          <w:highlight w:val="none"/>
        </w:rPr>
        <w:t>（1）符合投标条件的投标方或者对招标文件做实质响应的投标方不足三家的；</w:t>
      </w:r>
    </w:p>
    <w:p w14:paraId="40C350A3">
      <w:pPr>
        <w:spacing w:line="520" w:lineRule="exact"/>
        <w:ind w:right="2" w:firstLine="420" w:firstLineChars="200"/>
        <w:rPr>
          <w:rFonts w:ascii="宋体" w:hAnsi="Courier New"/>
          <w:highlight w:val="none"/>
        </w:rPr>
      </w:pPr>
      <w:r>
        <w:rPr>
          <w:rFonts w:hint="eastAsia" w:ascii="宋体" w:hAnsi="Courier New"/>
          <w:highlight w:val="none"/>
        </w:rPr>
        <w:t>（2）出现影响公正的违法、违规行为的；</w:t>
      </w:r>
    </w:p>
    <w:p w14:paraId="1F409557">
      <w:pPr>
        <w:spacing w:line="520" w:lineRule="exact"/>
        <w:ind w:right="2" w:firstLine="420" w:firstLineChars="200"/>
        <w:rPr>
          <w:rFonts w:ascii="宋体" w:hAnsi="Courier New"/>
          <w:highlight w:val="none"/>
        </w:rPr>
      </w:pPr>
      <w:r>
        <w:rPr>
          <w:rFonts w:hint="eastAsia" w:ascii="宋体" w:hAnsi="Courier New"/>
          <w:highlight w:val="none"/>
        </w:rPr>
        <w:t>（3）因重大变故，招标任务取消的；</w:t>
      </w:r>
    </w:p>
    <w:p w14:paraId="4ACCC7DE">
      <w:pPr>
        <w:pStyle w:val="7"/>
        <w:spacing w:line="360" w:lineRule="auto"/>
        <w:rPr>
          <w:rFonts w:hint="eastAsia" w:ascii="黑体" w:eastAsia="黑体"/>
          <w:b/>
          <w:bCs/>
          <w:sz w:val="28"/>
          <w:highlight w:val="none"/>
        </w:rPr>
      </w:pPr>
      <w:r>
        <w:rPr>
          <w:rFonts w:hint="eastAsia" w:ascii="黑体" w:eastAsia="黑体"/>
          <w:b/>
          <w:bCs/>
          <w:sz w:val="28"/>
          <w:highlight w:val="none"/>
          <w:lang w:val="en-US" w:eastAsia="zh-CN"/>
        </w:rPr>
        <w:t>十二</w:t>
      </w:r>
      <w:r>
        <w:rPr>
          <w:rFonts w:hint="eastAsia" w:ascii="黑体" w:eastAsia="黑体"/>
          <w:b/>
          <w:bCs/>
          <w:sz w:val="28"/>
          <w:highlight w:val="none"/>
        </w:rPr>
        <w:t>、本次招标最终解释权归</w:t>
      </w:r>
      <w:r>
        <w:rPr>
          <w:rFonts w:hint="eastAsia" w:ascii="黑体" w:hAnsi="Courier New" w:eastAsia="黑体" w:cs="Times New Roman"/>
          <w:b/>
          <w:bCs/>
          <w:sz w:val="28"/>
          <w:highlight w:val="none"/>
        </w:rPr>
        <w:t>中国重汽集团</w:t>
      </w:r>
      <w:r>
        <w:rPr>
          <w:rFonts w:hint="eastAsia" w:ascii="黑体" w:eastAsia="黑体" w:cs="Times New Roman"/>
          <w:b/>
          <w:bCs/>
          <w:sz w:val="28"/>
          <w:highlight w:val="none"/>
          <w:lang w:val="en-US" w:eastAsia="zh-CN"/>
        </w:rPr>
        <w:t>济宁商用车</w:t>
      </w:r>
      <w:r>
        <w:rPr>
          <w:rFonts w:hint="eastAsia" w:ascii="黑体" w:hAnsi="Courier New" w:eastAsia="黑体" w:cs="Times New Roman"/>
          <w:b/>
          <w:bCs/>
          <w:sz w:val="28"/>
          <w:highlight w:val="none"/>
        </w:rPr>
        <w:t>有限公司。</w:t>
      </w:r>
    </w:p>
    <w:p w14:paraId="45046393">
      <w:pPr>
        <w:pStyle w:val="7"/>
        <w:spacing w:line="360" w:lineRule="auto"/>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三</w:t>
      </w:r>
      <w:r>
        <w:rPr>
          <w:rFonts w:hint="eastAsia" w:ascii="黑体" w:eastAsia="黑体"/>
          <w:b/>
          <w:bCs/>
          <w:sz w:val="28"/>
          <w:highlight w:val="none"/>
        </w:rPr>
        <w:t>、本次招标联系人及联系方式：</w:t>
      </w:r>
    </w:p>
    <w:p w14:paraId="60AFBD67">
      <w:pPr>
        <w:spacing w:line="520" w:lineRule="exact"/>
        <w:ind w:right="2" w:firstLine="420" w:firstLineChars="200"/>
        <w:rPr>
          <w:rFonts w:hint="default" w:ascii="宋体" w:hAnsi="Courier New" w:eastAsia="宋体"/>
          <w:highlight w:val="none"/>
          <w:lang w:val="en-US" w:eastAsia="zh-CN"/>
        </w:rPr>
      </w:pPr>
      <w:r>
        <w:rPr>
          <w:rFonts w:hint="eastAsia" w:ascii="宋体" w:hAnsi="Courier New"/>
          <w:highlight w:val="none"/>
        </w:rPr>
        <w:t>联系人：</w:t>
      </w:r>
      <w:r>
        <w:rPr>
          <w:rFonts w:hint="eastAsia" w:ascii="宋体" w:hAnsi="Courier New"/>
          <w:highlight w:val="none"/>
          <w:lang w:val="en-US" w:eastAsia="zh-CN"/>
        </w:rPr>
        <w:t>崔浩然</w:t>
      </w:r>
      <w:r>
        <w:rPr>
          <w:rFonts w:hint="eastAsia" w:ascii="宋体" w:hAnsi="Courier New"/>
          <w:highlight w:val="none"/>
        </w:rPr>
        <w:t>，联系方式：</w:t>
      </w:r>
      <w:r>
        <w:rPr>
          <w:rFonts w:hint="eastAsia" w:ascii="宋体" w:hAnsi="Courier New"/>
          <w:highlight w:val="none"/>
          <w:lang w:val="en-US" w:eastAsia="zh-CN"/>
        </w:rPr>
        <w:t>18865383050</w:t>
      </w:r>
    </w:p>
    <w:p w14:paraId="2B95D266">
      <w:pPr>
        <w:pStyle w:val="7"/>
        <w:spacing w:line="360" w:lineRule="auto"/>
        <w:outlineLvl w:val="1"/>
        <w:rPr>
          <w:rFonts w:ascii="黑体" w:hAnsi="Times New Roman" w:eastAsia="黑体"/>
          <w:b/>
          <w:bCs/>
          <w:sz w:val="24"/>
          <w:szCs w:val="24"/>
          <w:highlight w:val="none"/>
        </w:rPr>
      </w:pPr>
      <w:r>
        <w:rPr>
          <w:rFonts w:hint="eastAsia" w:ascii="黑体" w:hAnsi="Times New Roman" w:eastAsia="黑体"/>
          <w:b/>
          <w:bCs/>
          <w:sz w:val="24"/>
          <w:szCs w:val="24"/>
          <w:highlight w:val="none"/>
        </w:rPr>
        <w:t>十</w:t>
      </w:r>
      <w:r>
        <w:rPr>
          <w:rFonts w:hint="eastAsia" w:ascii="黑体" w:hAnsi="Times New Roman" w:eastAsia="黑体"/>
          <w:b/>
          <w:bCs/>
          <w:sz w:val="24"/>
          <w:szCs w:val="24"/>
          <w:highlight w:val="none"/>
          <w:lang w:val="en-US" w:eastAsia="zh-CN"/>
        </w:rPr>
        <w:t>四</w:t>
      </w:r>
      <w:r>
        <w:rPr>
          <w:rFonts w:hint="eastAsia" w:ascii="黑体" w:hAnsi="Times New Roman" w:eastAsia="黑体"/>
          <w:b/>
          <w:bCs/>
          <w:sz w:val="24"/>
          <w:szCs w:val="24"/>
          <w:highlight w:val="none"/>
        </w:rPr>
        <w:t>、其他</w:t>
      </w:r>
    </w:p>
    <w:p w14:paraId="3108F622">
      <w:pPr>
        <w:spacing w:line="360" w:lineRule="auto"/>
        <w:ind w:right="2" w:firstLine="560"/>
        <w:rPr>
          <w:rFonts w:ascii="宋体" w:hAnsi="Courier New"/>
          <w:color w:val="000000"/>
          <w:highlight w:val="none"/>
        </w:rPr>
      </w:pPr>
      <w:r>
        <w:rPr>
          <w:rFonts w:hint="eastAsia" w:ascii="宋体" w:hAnsi="Courier New"/>
          <w:color w:val="000000"/>
          <w:highlight w:val="none"/>
        </w:rPr>
        <w:t>1.其余未尽事宜均以协议（或合同）约定为准。</w:t>
      </w:r>
    </w:p>
    <w:p w14:paraId="01D28C25">
      <w:pPr>
        <w:pStyle w:val="7"/>
        <w:spacing w:line="360" w:lineRule="auto"/>
        <w:ind w:firstLine="560"/>
        <w:rPr>
          <w:color w:val="000000"/>
          <w:highlight w:val="none"/>
        </w:rPr>
      </w:pPr>
      <w:r>
        <w:rPr>
          <w:rFonts w:hint="eastAsia"/>
          <w:color w:val="000000"/>
          <w:highlight w:val="none"/>
        </w:rPr>
        <w:t>2.要求招标人或相关合同签订单位提供的配合，在标书文件中说明。</w:t>
      </w:r>
    </w:p>
    <w:p w14:paraId="2F241974">
      <w:pPr>
        <w:spacing w:line="360" w:lineRule="auto"/>
        <w:ind w:right="2" w:firstLine="560"/>
        <w:rPr>
          <w:rFonts w:ascii="宋体" w:hAnsi="Courier New"/>
          <w:color w:val="000000"/>
          <w:highlight w:val="none"/>
        </w:rPr>
      </w:pPr>
      <w:r>
        <w:rPr>
          <w:rFonts w:hint="eastAsia" w:ascii="宋体" w:hAnsi="Courier New"/>
          <w:color w:val="000000"/>
          <w:highlight w:val="none"/>
        </w:rPr>
        <w:t>3.凡对本次招标提出的问询，均以招标人的书面答复为准。招标人的任何工作人员对投标人所作的任何口头解释、介绍、答复，对招标人和投标人均无任何约束力。</w:t>
      </w:r>
    </w:p>
    <w:p w14:paraId="796EDD69">
      <w:pPr>
        <w:spacing w:line="360" w:lineRule="auto"/>
        <w:ind w:right="2" w:firstLine="560"/>
        <w:rPr>
          <w:rFonts w:ascii="宋体" w:hAnsi="Courier New"/>
          <w:color w:val="000000"/>
          <w:highlight w:val="none"/>
        </w:rPr>
      </w:pPr>
      <w:r>
        <w:rPr>
          <w:rFonts w:hint="eastAsia" w:ascii="宋体" w:hAnsi="Courier New"/>
          <w:color w:val="000000"/>
          <w:highlight w:val="none"/>
        </w:rPr>
        <w:t>4.投标人应承担所有与准备和参加投标有关的全部费用，包含但不限于取样化验或投标过程中的产生的其他各项费用，招标人在任何情况下均无义务和责任承担此费用。</w:t>
      </w:r>
    </w:p>
    <w:p w14:paraId="3CE05639">
      <w:pPr>
        <w:spacing w:line="360" w:lineRule="auto"/>
        <w:jc w:val="left"/>
        <w:rPr>
          <w:rFonts w:eastAsia="黑体"/>
          <w:b/>
          <w:bCs/>
          <w:sz w:val="28"/>
          <w:highlight w:val="none"/>
        </w:rPr>
      </w:pPr>
    </w:p>
    <w:p w14:paraId="435479B4">
      <w:pPr>
        <w:pStyle w:val="5"/>
        <w:adjustRightInd w:val="0"/>
        <w:snapToGrid w:val="0"/>
        <w:spacing w:line="360" w:lineRule="auto"/>
        <w:ind w:firstLine="560"/>
        <w:jc w:val="right"/>
        <w:rPr>
          <w:rFonts w:ascii="宋体" w:hAnsi="Courier New" w:eastAsia="宋体"/>
          <w:color w:val="000000"/>
          <w:sz w:val="21"/>
          <w:highlight w:val="none"/>
        </w:rPr>
      </w:pPr>
      <w:r>
        <w:rPr>
          <w:rFonts w:hint="eastAsia" w:ascii="宋体" w:hAnsi="Courier New" w:eastAsia="宋体"/>
          <w:color w:val="000000"/>
          <w:sz w:val="21"/>
          <w:highlight w:val="none"/>
        </w:rPr>
        <w:t>中国重汽集团济宁商用车有限公司</w:t>
      </w:r>
    </w:p>
    <w:p w14:paraId="607B90B8">
      <w:pPr>
        <w:jc w:val="right"/>
        <w:rPr>
          <w:rFonts w:hint="default" w:ascii="宋体" w:hAnsi="Courier New" w:eastAsia="宋体"/>
          <w:color w:val="000000"/>
          <w:highlight w:val="none"/>
          <w:lang w:val="en-US" w:eastAsia="zh-CN"/>
        </w:rPr>
      </w:pPr>
      <w:r>
        <w:rPr>
          <w:rFonts w:hint="eastAsia" w:ascii="宋体" w:hAnsi="Courier New"/>
          <w:color w:val="000000"/>
          <w:highlight w:val="none"/>
        </w:rPr>
        <w:t>202</w:t>
      </w:r>
      <w:r>
        <w:rPr>
          <w:rFonts w:hint="eastAsia" w:ascii="宋体" w:hAnsi="Courier New"/>
          <w:color w:val="000000"/>
          <w:highlight w:val="none"/>
          <w:lang w:val="en-US" w:eastAsia="zh-CN"/>
        </w:rPr>
        <w:t>5</w:t>
      </w:r>
      <w:r>
        <w:rPr>
          <w:rFonts w:hint="eastAsia" w:ascii="宋体" w:hAnsi="Courier New"/>
          <w:color w:val="000000"/>
          <w:highlight w:val="none"/>
        </w:rPr>
        <w:t>-</w:t>
      </w:r>
      <w:r>
        <w:rPr>
          <w:rFonts w:hint="eastAsia" w:ascii="宋体" w:hAnsi="Courier New"/>
          <w:color w:val="000000"/>
          <w:highlight w:val="none"/>
          <w:lang w:val="en-US" w:eastAsia="zh-CN"/>
        </w:rPr>
        <w:t>5</w:t>
      </w:r>
      <w:r>
        <w:rPr>
          <w:rFonts w:hint="eastAsia" w:ascii="宋体" w:hAnsi="Courier New"/>
          <w:color w:val="000000"/>
          <w:highlight w:val="none"/>
        </w:rPr>
        <w:t>-</w:t>
      </w:r>
      <w:r>
        <w:rPr>
          <w:rFonts w:hint="eastAsia" w:ascii="宋体" w:hAnsi="Courier New"/>
          <w:color w:val="000000"/>
          <w:highlight w:val="none"/>
          <w:lang w:val="en-US" w:eastAsia="zh-CN"/>
        </w:rPr>
        <w:t>28</w:t>
      </w:r>
    </w:p>
    <w:p w14:paraId="69D589CC">
      <w:pPr>
        <w:pStyle w:val="11"/>
        <w:rPr>
          <w:rFonts w:hint="eastAsia" w:ascii="宋体" w:hAnsi="Courier New"/>
          <w:color w:val="000000"/>
          <w:highlight w:val="none"/>
          <w:lang w:val="en-US" w:eastAsia="zh-CN"/>
        </w:rPr>
      </w:pPr>
    </w:p>
    <w:p w14:paraId="3398BBE9">
      <w:pPr>
        <w:rPr>
          <w:rFonts w:hint="eastAsia" w:ascii="宋体" w:hAnsi="Courier New"/>
          <w:color w:val="000000"/>
          <w:highlight w:val="none"/>
          <w:lang w:val="en-US" w:eastAsia="zh-CN"/>
        </w:rPr>
      </w:pPr>
    </w:p>
    <w:p w14:paraId="6748F2D5">
      <w:pPr>
        <w:pStyle w:val="11"/>
        <w:rPr>
          <w:rFonts w:hint="eastAsia" w:ascii="宋体" w:hAnsi="Courier New"/>
          <w:color w:val="000000"/>
          <w:highlight w:val="none"/>
          <w:lang w:val="en-US" w:eastAsia="zh-CN"/>
        </w:rPr>
      </w:pPr>
    </w:p>
    <w:p w14:paraId="5E4ABA42">
      <w:pPr>
        <w:rPr>
          <w:rFonts w:hint="eastAsia" w:ascii="宋体" w:hAnsi="Courier New"/>
          <w:color w:val="000000"/>
          <w:highlight w:val="none"/>
          <w:lang w:val="en-US" w:eastAsia="zh-CN"/>
        </w:rPr>
      </w:pPr>
    </w:p>
    <w:p w14:paraId="78121E92">
      <w:pPr>
        <w:pStyle w:val="11"/>
        <w:rPr>
          <w:rFonts w:hint="eastAsia" w:ascii="宋体" w:hAnsi="Courier New"/>
          <w:color w:val="000000"/>
          <w:highlight w:val="none"/>
          <w:lang w:val="en-US" w:eastAsia="zh-CN"/>
        </w:rPr>
      </w:pPr>
    </w:p>
    <w:p w14:paraId="4B8C5E4A">
      <w:pPr>
        <w:rPr>
          <w:rFonts w:hint="eastAsia" w:ascii="宋体" w:hAnsi="Courier New"/>
          <w:color w:val="000000"/>
          <w:highlight w:val="none"/>
          <w:lang w:val="en-US" w:eastAsia="zh-CN"/>
        </w:rPr>
      </w:pPr>
    </w:p>
    <w:p w14:paraId="326421B8">
      <w:pPr>
        <w:pStyle w:val="11"/>
        <w:rPr>
          <w:rFonts w:hint="eastAsia" w:ascii="宋体" w:hAnsi="Courier New"/>
          <w:color w:val="000000"/>
          <w:highlight w:val="none"/>
          <w:lang w:val="en-US" w:eastAsia="zh-CN"/>
        </w:rPr>
      </w:pPr>
    </w:p>
    <w:p w14:paraId="3766C6D3">
      <w:pPr>
        <w:rPr>
          <w:rFonts w:hint="eastAsia" w:ascii="宋体" w:hAnsi="Courier New"/>
          <w:color w:val="000000"/>
          <w:highlight w:val="none"/>
          <w:lang w:val="en-US" w:eastAsia="zh-CN"/>
        </w:rPr>
      </w:pPr>
    </w:p>
    <w:p w14:paraId="06C6A85E">
      <w:pPr>
        <w:pStyle w:val="11"/>
        <w:rPr>
          <w:rFonts w:hint="eastAsia" w:ascii="宋体" w:hAnsi="Courier New"/>
          <w:color w:val="000000"/>
          <w:highlight w:val="none"/>
          <w:lang w:val="en-US" w:eastAsia="zh-CN"/>
        </w:rPr>
      </w:pPr>
    </w:p>
    <w:p w14:paraId="1D2B2DB3">
      <w:pPr>
        <w:rPr>
          <w:rFonts w:hint="eastAsia" w:ascii="宋体" w:hAnsi="Courier New"/>
          <w:color w:val="000000"/>
          <w:highlight w:val="none"/>
          <w:lang w:val="en-US" w:eastAsia="zh-CN"/>
        </w:rPr>
      </w:pPr>
    </w:p>
    <w:p w14:paraId="560B322B">
      <w:pPr>
        <w:rPr>
          <w:rFonts w:hint="eastAsia" w:ascii="宋体" w:hAnsi="Courier New"/>
          <w:color w:val="000000"/>
          <w:highlight w:val="none"/>
          <w:lang w:val="en-US" w:eastAsia="zh-CN"/>
        </w:rPr>
      </w:pPr>
    </w:p>
    <w:p w14:paraId="08ABD04C">
      <w:pPr>
        <w:rPr>
          <w:rFonts w:hint="eastAsia" w:ascii="宋体" w:hAnsi="Courier New"/>
          <w:color w:val="000000"/>
          <w:highlight w:val="none"/>
          <w:lang w:val="en-US" w:eastAsia="zh-CN"/>
        </w:rPr>
      </w:pPr>
    </w:p>
    <w:p w14:paraId="00036D04">
      <w:pPr>
        <w:rPr>
          <w:rFonts w:hint="eastAsia" w:ascii="宋体" w:hAnsi="Courier New"/>
          <w:color w:val="000000"/>
          <w:highlight w:val="none"/>
          <w:lang w:val="en-US" w:eastAsia="zh-CN"/>
        </w:rPr>
      </w:pPr>
    </w:p>
    <w:p w14:paraId="197CD0C6">
      <w:pPr>
        <w:rPr>
          <w:rFonts w:hint="eastAsia" w:ascii="宋体" w:hAnsi="Courier New"/>
          <w:color w:val="000000"/>
          <w:highlight w:val="none"/>
          <w:lang w:val="en-US" w:eastAsia="zh-CN"/>
        </w:rPr>
      </w:pPr>
    </w:p>
    <w:p w14:paraId="7AF2144D">
      <w:pPr>
        <w:rPr>
          <w:rFonts w:hint="eastAsia" w:ascii="宋体" w:hAnsi="Courier New"/>
          <w:color w:val="000000"/>
          <w:highlight w:val="none"/>
          <w:lang w:val="en-US" w:eastAsia="zh-CN"/>
        </w:rPr>
      </w:pPr>
    </w:p>
    <w:p w14:paraId="0382EAD3">
      <w:pPr>
        <w:rPr>
          <w:rFonts w:hint="eastAsia" w:ascii="宋体" w:hAnsi="Courier New"/>
          <w:color w:val="000000"/>
          <w:highlight w:val="none"/>
          <w:lang w:val="en-US" w:eastAsia="zh-CN"/>
        </w:rPr>
      </w:pPr>
    </w:p>
    <w:p w14:paraId="571EB1CB">
      <w:pPr>
        <w:rPr>
          <w:rFonts w:hint="eastAsia" w:ascii="宋体" w:hAnsi="Courier New"/>
          <w:color w:val="000000"/>
          <w:highlight w:val="none"/>
          <w:lang w:val="en-US" w:eastAsia="zh-CN"/>
        </w:rPr>
      </w:pPr>
    </w:p>
    <w:p w14:paraId="28EC1100">
      <w:pPr>
        <w:rPr>
          <w:rFonts w:hint="eastAsia" w:ascii="宋体" w:hAnsi="Courier New"/>
          <w:color w:val="000000"/>
          <w:highlight w:val="none"/>
          <w:lang w:val="en-US" w:eastAsia="zh-CN"/>
        </w:rPr>
      </w:pPr>
    </w:p>
    <w:p w14:paraId="5B4B78F3">
      <w:pPr>
        <w:rPr>
          <w:rFonts w:hint="eastAsia" w:ascii="宋体" w:hAnsi="Courier New"/>
          <w:color w:val="000000"/>
          <w:highlight w:val="none"/>
          <w:lang w:val="en-US" w:eastAsia="zh-CN"/>
        </w:rPr>
      </w:pPr>
    </w:p>
    <w:p w14:paraId="5C40EF14">
      <w:pPr>
        <w:rPr>
          <w:rFonts w:hint="eastAsia" w:ascii="宋体" w:hAnsi="Courier New"/>
          <w:color w:val="000000"/>
          <w:highlight w:val="none"/>
          <w:lang w:val="en-US" w:eastAsia="zh-CN"/>
        </w:rPr>
      </w:pPr>
    </w:p>
    <w:p w14:paraId="4506C737">
      <w:pPr>
        <w:rPr>
          <w:rFonts w:hint="eastAsia" w:ascii="宋体" w:hAnsi="Courier New"/>
          <w:color w:val="000000"/>
          <w:highlight w:val="none"/>
          <w:lang w:val="en-US" w:eastAsia="zh-CN"/>
        </w:rPr>
      </w:pPr>
    </w:p>
    <w:p w14:paraId="1D0B0915">
      <w:pPr>
        <w:rPr>
          <w:rFonts w:hint="eastAsia" w:ascii="宋体" w:hAnsi="Courier New"/>
          <w:color w:val="000000"/>
          <w:highlight w:val="none"/>
          <w:lang w:val="en-US" w:eastAsia="zh-CN"/>
        </w:rPr>
      </w:pPr>
    </w:p>
    <w:p w14:paraId="24534463">
      <w:pPr>
        <w:rPr>
          <w:rFonts w:hint="eastAsia" w:ascii="宋体" w:hAnsi="Courier New"/>
          <w:color w:val="000000"/>
          <w:highlight w:val="none"/>
          <w:lang w:val="en-US" w:eastAsia="zh-CN"/>
        </w:rPr>
      </w:pPr>
    </w:p>
    <w:p w14:paraId="4449F65C">
      <w:pPr>
        <w:rPr>
          <w:rFonts w:hint="eastAsia" w:ascii="宋体" w:hAnsi="Courier New"/>
          <w:color w:val="000000"/>
          <w:highlight w:val="none"/>
          <w:lang w:val="en-US" w:eastAsia="zh-CN"/>
        </w:rPr>
      </w:pPr>
    </w:p>
    <w:p w14:paraId="5CB652F3">
      <w:pPr>
        <w:rPr>
          <w:rFonts w:hint="eastAsia" w:ascii="宋体" w:hAnsi="Courier New"/>
          <w:color w:val="000000"/>
          <w:highlight w:val="none"/>
          <w:lang w:val="en-US" w:eastAsia="zh-CN"/>
        </w:rPr>
      </w:pPr>
    </w:p>
    <w:p w14:paraId="21DC0A1E">
      <w:pPr>
        <w:rPr>
          <w:rFonts w:hint="eastAsia" w:ascii="宋体" w:hAnsi="Courier New"/>
          <w:color w:val="000000"/>
          <w:highlight w:val="none"/>
          <w:lang w:val="en-US" w:eastAsia="zh-CN"/>
        </w:rPr>
      </w:pPr>
    </w:p>
    <w:p w14:paraId="112C7C01">
      <w:pPr>
        <w:rPr>
          <w:rFonts w:hint="eastAsia" w:ascii="宋体" w:hAnsi="Courier New"/>
          <w:color w:val="000000"/>
          <w:highlight w:val="none"/>
          <w:lang w:val="en-US" w:eastAsia="zh-CN"/>
        </w:rPr>
      </w:pPr>
    </w:p>
    <w:p w14:paraId="7059C5C3">
      <w:pPr>
        <w:rPr>
          <w:rFonts w:hint="eastAsia" w:ascii="宋体" w:hAnsi="Courier New"/>
          <w:color w:val="000000"/>
          <w:highlight w:val="none"/>
          <w:lang w:val="en-US" w:eastAsia="zh-CN"/>
        </w:rPr>
      </w:pPr>
    </w:p>
    <w:p w14:paraId="22E0F196">
      <w:pPr>
        <w:rPr>
          <w:rFonts w:hint="eastAsia" w:ascii="宋体" w:hAnsi="Courier New"/>
          <w:color w:val="000000"/>
          <w:highlight w:val="none"/>
          <w:lang w:val="en-US" w:eastAsia="zh-CN"/>
        </w:rPr>
      </w:pPr>
    </w:p>
    <w:p w14:paraId="69DF116A">
      <w:pPr>
        <w:rPr>
          <w:rFonts w:hint="eastAsia" w:ascii="宋体" w:hAnsi="Courier New"/>
          <w:color w:val="000000"/>
          <w:highlight w:val="none"/>
          <w:lang w:val="en-US" w:eastAsia="zh-CN"/>
        </w:rPr>
      </w:pPr>
    </w:p>
    <w:p w14:paraId="3251B119">
      <w:pPr>
        <w:pStyle w:val="11"/>
        <w:rPr>
          <w:rFonts w:hint="eastAsia" w:ascii="宋体" w:hAnsi="Courier New"/>
          <w:color w:val="000000"/>
          <w:highlight w:val="none"/>
          <w:lang w:val="en-US" w:eastAsia="zh-CN"/>
        </w:rPr>
      </w:pPr>
    </w:p>
    <w:p w14:paraId="176E11D9">
      <w:pPr>
        <w:rPr>
          <w:rFonts w:hint="eastAsia" w:ascii="宋体" w:hAnsi="Courier New"/>
          <w:color w:val="000000"/>
          <w:highlight w:val="none"/>
          <w:lang w:val="en-US" w:eastAsia="zh-CN"/>
        </w:rPr>
      </w:pPr>
    </w:p>
    <w:p w14:paraId="73101DC8">
      <w:pPr>
        <w:ind w:firstLine="643"/>
        <w:rPr>
          <w:rFonts w:ascii="宋体" w:hAnsi="宋体"/>
          <w:b/>
          <w:sz w:val="32"/>
          <w:szCs w:val="32"/>
          <w:highlight w:val="none"/>
        </w:rPr>
      </w:pPr>
      <w:r>
        <w:rPr>
          <w:rFonts w:hint="eastAsia" w:ascii="宋体" w:hAnsi="宋体"/>
          <w:b/>
          <w:sz w:val="32"/>
          <w:szCs w:val="32"/>
          <w:highlight w:val="none"/>
        </w:rPr>
        <w:t>附件1：</w:t>
      </w:r>
    </w:p>
    <w:p w14:paraId="60750B19">
      <w:pPr>
        <w:rPr>
          <w:rFonts w:eastAsia="黑体"/>
          <w:b/>
          <w:bCs/>
          <w:sz w:val="28"/>
          <w:highlight w:val="none"/>
        </w:rPr>
      </w:pPr>
      <w:r>
        <w:rPr>
          <w:rFonts w:eastAsia="黑体"/>
          <w:b/>
          <w:bCs/>
          <w:sz w:val="28"/>
          <w:highlight w:val="none"/>
        </w:rPr>
        <w:t xml:space="preserve">                        </w:t>
      </w:r>
      <w:r>
        <w:rPr>
          <w:rFonts w:hint="eastAsia" w:eastAsia="黑体"/>
          <w:b/>
          <w:bCs/>
          <w:sz w:val="28"/>
          <w:highlight w:val="none"/>
        </w:rPr>
        <w:t>投标书</w:t>
      </w:r>
    </w:p>
    <w:p w14:paraId="40B773BA">
      <w:pPr>
        <w:rPr>
          <w:rFonts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14:paraId="5139E4CB">
      <w:pPr>
        <w:ind w:firstLine="645"/>
        <w:rPr>
          <w:rFonts w:ascii="宋体" w:hAnsi="宋体"/>
          <w:highlight w:val="none"/>
        </w:rPr>
      </w:pPr>
      <w:r>
        <w:rPr>
          <w:rFonts w:hint="eastAsia" w:ascii="宋体" w:hAnsi="宋体"/>
          <w:highlight w:val="none"/>
        </w:rPr>
        <w:t>根据贵方为中国重汽集团济宁商用车有限公司宣传品制作项目招标书，签字代表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14:paraId="63D4651F">
      <w:pPr>
        <w:rPr>
          <w:rFonts w:ascii="宋体" w:hAnsi="宋体"/>
          <w:highlight w:val="none"/>
        </w:rPr>
      </w:pPr>
      <w:r>
        <w:rPr>
          <w:rFonts w:hint="eastAsia" w:ascii="宋体" w:hAnsi="宋体"/>
          <w:highlight w:val="none"/>
        </w:rPr>
        <w:t>据此，签字代表宣布同意如下：</w:t>
      </w:r>
    </w:p>
    <w:p w14:paraId="3CF38452">
      <w:pPr>
        <w:numPr>
          <w:ilvl w:val="0"/>
          <w:numId w:val="5"/>
        </w:numPr>
        <w:rPr>
          <w:rFonts w:ascii="宋体" w:hAnsi="宋体"/>
          <w:highlight w:val="none"/>
        </w:rPr>
      </w:pPr>
      <w:r>
        <w:rPr>
          <w:rFonts w:hint="eastAsia" w:ascii="宋体" w:hAnsi="宋体"/>
          <w:highlight w:val="none"/>
        </w:rPr>
        <w:t>投标人将按招标文件的规定履行合同责任和义务。</w:t>
      </w:r>
    </w:p>
    <w:p w14:paraId="6A2A3524">
      <w:pPr>
        <w:numPr>
          <w:ilvl w:val="0"/>
          <w:numId w:val="5"/>
        </w:numPr>
        <w:rPr>
          <w:rFonts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3AD0F4EB">
      <w:pPr>
        <w:numPr>
          <w:ilvl w:val="0"/>
          <w:numId w:val="5"/>
        </w:numPr>
        <w:rPr>
          <w:rFonts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14:paraId="56283458">
      <w:pPr>
        <w:numPr>
          <w:ilvl w:val="0"/>
          <w:numId w:val="5"/>
        </w:numPr>
        <w:rPr>
          <w:rFonts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32AED1DB">
      <w:pPr>
        <w:numPr>
          <w:ilvl w:val="0"/>
          <w:numId w:val="5"/>
        </w:numPr>
        <w:rPr>
          <w:rFonts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7216BA4B">
      <w:pPr>
        <w:numPr>
          <w:ilvl w:val="0"/>
          <w:numId w:val="5"/>
        </w:numPr>
        <w:rPr>
          <w:rFonts w:ascii="宋体" w:hAnsi="宋体"/>
          <w:highlight w:val="none"/>
        </w:rPr>
      </w:pPr>
      <w:r>
        <w:rPr>
          <w:rFonts w:hint="eastAsia" w:ascii="宋体" w:hAnsi="宋体"/>
          <w:highlight w:val="none"/>
        </w:rPr>
        <w:t>与本投标有关的一切正式</w:t>
      </w:r>
      <w:r>
        <w:rPr>
          <w:rFonts w:hint="eastAsia" w:ascii="宋体" w:hAnsi="宋体"/>
          <w:highlight w:val="none"/>
          <w:lang w:eastAsia="zh-CN"/>
        </w:rPr>
        <w:t>往来通信请寄</w:t>
      </w:r>
      <w:r>
        <w:rPr>
          <w:rFonts w:hint="eastAsia" w:ascii="宋体" w:hAnsi="宋体"/>
          <w:highlight w:val="none"/>
        </w:rPr>
        <w:t>：</w:t>
      </w:r>
    </w:p>
    <w:p w14:paraId="4A70DDB4">
      <w:pPr>
        <w:ind w:left="795"/>
        <w:rPr>
          <w:rFonts w:ascii="宋体" w:hAnsi="宋体"/>
          <w:highlight w:val="none"/>
        </w:rPr>
      </w:pPr>
      <w:r>
        <w:rPr>
          <w:rFonts w:hint="eastAsia" w:ascii="宋体" w:hAnsi="宋体"/>
          <w:highlight w:val="none"/>
        </w:rPr>
        <w:t>地址：                                   邮编：</w:t>
      </w:r>
    </w:p>
    <w:p w14:paraId="14B3CDDD">
      <w:pPr>
        <w:ind w:left="795"/>
        <w:rPr>
          <w:rFonts w:ascii="宋体" w:hAnsi="宋体"/>
          <w:highlight w:val="none"/>
        </w:rPr>
      </w:pPr>
      <w:r>
        <w:rPr>
          <w:rFonts w:hint="eastAsia" w:ascii="宋体" w:hAnsi="宋体"/>
          <w:highlight w:val="none"/>
        </w:rPr>
        <w:t>电话：                                   传真：</w:t>
      </w:r>
    </w:p>
    <w:p w14:paraId="370113C9">
      <w:pPr>
        <w:ind w:left="795"/>
        <w:rPr>
          <w:highlight w:val="none"/>
        </w:rPr>
      </w:pPr>
    </w:p>
    <w:p w14:paraId="5A09B3EC">
      <w:pPr>
        <w:ind w:left="795"/>
        <w:rPr>
          <w:highlight w:val="none"/>
        </w:rPr>
      </w:pPr>
    </w:p>
    <w:p w14:paraId="1CAB7852">
      <w:pPr>
        <w:ind w:left="795"/>
        <w:rPr>
          <w:highlight w:val="none"/>
        </w:rPr>
      </w:pPr>
      <w:r>
        <w:rPr>
          <w:rFonts w:hint="eastAsia"/>
          <w:highlight w:val="none"/>
        </w:rPr>
        <w:t>投标人授权代表签字：                 职务：                 日期：</w:t>
      </w:r>
    </w:p>
    <w:p w14:paraId="43644C40">
      <w:pPr>
        <w:ind w:left="795"/>
        <w:rPr>
          <w:highlight w:val="none"/>
        </w:rPr>
      </w:pPr>
      <w:r>
        <w:rPr>
          <w:rFonts w:hint="eastAsia"/>
          <w:highlight w:val="none"/>
        </w:rPr>
        <w:t>投标人授权代表姓名、职务：</w:t>
      </w:r>
    </w:p>
    <w:p w14:paraId="4B3D73E3">
      <w:pPr>
        <w:ind w:left="795"/>
        <w:rPr>
          <w:highlight w:val="none"/>
        </w:rPr>
      </w:pPr>
      <w:r>
        <w:rPr>
          <w:rFonts w:hint="eastAsia"/>
          <w:highlight w:val="none"/>
        </w:rPr>
        <w:t>投标人名称（及公章）：</w:t>
      </w:r>
    </w:p>
    <w:p w14:paraId="71E5CA6C">
      <w:pPr>
        <w:ind w:left="795"/>
        <w:rPr>
          <w:highlight w:val="none"/>
        </w:rPr>
      </w:pPr>
      <w:r>
        <w:rPr>
          <w:rFonts w:hint="eastAsia"/>
          <w:highlight w:val="none"/>
        </w:rPr>
        <w:t>日期：        年       月       日</w:t>
      </w:r>
    </w:p>
    <w:p w14:paraId="721CF2BD">
      <w:pPr>
        <w:rPr>
          <w:rFonts w:ascii="黑体" w:eastAsia="黑体"/>
          <w:sz w:val="30"/>
          <w:highlight w:val="none"/>
        </w:rPr>
      </w:pPr>
    </w:p>
    <w:p w14:paraId="1592D697">
      <w:pPr>
        <w:pStyle w:val="11"/>
        <w:rPr>
          <w:rFonts w:hint="eastAsia" w:ascii="宋体" w:hAnsi="Courier New"/>
          <w:color w:val="000000"/>
          <w:highlight w:val="none"/>
          <w:lang w:val="en-US" w:eastAsia="zh-CN"/>
        </w:rPr>
      </w:pPr>
    </w:p>
    <w:p w14:paraId="41055CF3">
      <w:pPr>
        <w:rPr>
          <w:rFonts w:hint="eastAsia" w:ascii="宋体" w:hAnsi="Courier New"/>
          <w:color w:val="000000"/>
          <w:highlight w:val="none"/>
          <w:lang w:val="en-US" w:eastAsia="zh-CN"/>
        </w:rPr>
      </w:pPr>
    </w:p>
    <w:p w14:paraId="3E657C2A">
      <w:pPr>
        <w:ind w:firstLine="643"/>
        <w:rPr>
          <w:rFonts w:ascii="宋体" w:hAnsi="宋体"/>
          <w:b/>
          <w:sz w:val="32"/>
          <w:szCs w:val="32"/>
          <w:highlight w:val="none"/>
        </w:rPr>
      </w:pPr>
      <w:r>
        <w:rPr>
          <w:rFonts w:hint="eastAsia" w:ascii="宋体" w:hAnsi="宋体"/>
          <w:b/>
          <w:sz w:val="32"/>
          <w:szCs w:val="32"/>
          <w:highlight w:val="none"/>
        </w:rPr>
        <w:t>附件</w:t>
      </w:r>
      <w:r>
        <w:rPr>
          <w:rFonts w:hint="eastAsia" w:ascii="宋体" w:hAnsi="宋体"/>
          <w:b/>
          <w:sz w:val="32"/>
          <w:szCs w:val="32"/>
          <w:highlight w:val="none"/>
          <w:lang w:val="en-US" w:eastAsia="zh-CN"/>
        </w:rPr>
        <w:t>2</w:t>
      </w:r>
      <w:r>
        <w:rPr>
          <w:rFonts w:hint="eastAsia" w:ascii="宋体" w:hAnsi="宋体"/>
          <w:b/>
          <w:sz w:val="32"/>
          <w:szCs w:val="32"/>
          <w:highlight w:val="none"/>
        </w:rPr>
        <w:t>：</w:t>
      </w:r>
    </w:p>
    <w:p w14:paraId="060F1F58">
      <w:pPr>
        <w:ind w:firstLine="420"/>
        <w:rPr>
          <w:rFonts w:ascii="宋体" w:hAnsi="宋体"/>
          <w:highlight w:val="none"/>
          <w:u w:val="single"/>
        </w:rPr>
      </w:pPr>
      <w:r>
        <w:rPr>
          <w:rFonts w:hint="eastAsia" w:ascii="宋体" w:hAnsi="宋体"/>
          <w:highlight w:val="none"/>
        </w:rPr>
        <w:t>项目名称：</w:t>
      </w:r>
      <w:r>
        <w:rPr>
          <w:rFonts w:hint="eastAsia" w:ascii="宋体" w:hAnsi="宋体"/>
          <w:sz w:val="21"/>
          <w:highlight w:val="none"/>
          <w:u w:val="single"/>
          <w:lang w:val="en-US" w:eastAsia="zh-CN"/>
        </w:rPr>
        <w:t>移动源环保监控升级改造</w:t>
      </w:r>
      <w:r>
        <w:rPr>
          <w:rFonts w:hint="eastAsia" w:ascii="宋体" w:hAnsi="宋体"/>
          <w:highlight w:val="none"/>
          <w:u w:val="single"/>
        </w:rPr>
        <w:t>项目</w:t>
      </w:r>
    </w:p>
    <w:p w14:paraId="2D40DC70">
      <w:pPr>
        <w:pStyle w:val="7"/>
        <w:spacing w:line="360" w:lineRule="auto"/>
        <w:ind w:firstLine="420"/>
        <w:rPr>
          <w:rFonts w:hAnsi="宋体"/>
          <w:szCs w:val="21"/>
          <w:highlight w:val="none"/>
        </w:rPr>
      </w:pPr>
      <w:r>
        <w:rPr>
          <w:rFonts w:hint="eastAsia" w:hAnsi="宋体"/>
          <w:szCs w:val="21"/>
          <w:highlight w:val="none"/>
        </w:rPr>
        <w:t>日期：  年   月   日</w:t>
      </w:r>
    </w:p>
    <w:p w14:paraId="6CB3248E">
      <w:pPr>
        <w:ind w:firstLine="562"/>
        <w:jc w:val="center"/>
        <w:rPr>
          <w:rFonts w:eastAsia="黑体"/>
          <w:b/>
          <w:bCs/>
          <w:sz w:val="28"/>
          <w:highlight w:val="none"/>
        </w:rPr>
      </w:pPr>
      <w:r>
        <w:rPr>
          <w:rFonts w:hint="eastAsia" w:eastAsia="黑体"/>
          <w:b/>
          <w:bCs/>
          <w:sz w:val="28"/>
          <w:highlight w:val="none"/>
        </w:rPr>
        <w:t>法人授权委托书</w:t>
      </w:r>
    </w:p>
    <w:p w14:paraId="3C73754B">
      <w:pPr>
        <w:ind w:firstLine="420"/>
        <w:rPr>
          <w:rFonts w:ascii="宋体" w:hAnsi="宋体"/>
          <w:highlight w:val="none"/>
          <w:u w:val="single"/>
        </w:rPr>
      </w:pPr>
      <w:r>
        <w:rPr>
          <w:rFonts w:hint="eastAsia" w:ascii="宋体" w:hAnsi="宋体"/>
          <w:highlight w:val="none"/>
        </w:rPr>
        <w:t>致</w:t>
      </w:r>
      <w:r>
        <w:rPr>
          <w:rFonts w:hint="eastAsia" w:ascii="宋体" w:hAnsi="宋体"/>
          <w:highlight w:val="none"/>
          <w:u w:val="single"/>
        </w:rPr>
        <w:t>中国重汽集团济宁商用车有限公司：</w:t>
      </w:r>
    </w:p>
    <w:p w14:paraId="41637058">
      <w:pPr>
        <w:spacing w:line="360" w:lineRule="auto"/>
        <w:ind w:firstLine="420"/>
        <w:rPr>
          <w:rFonts w:ascii="宋体" w:hAnsi="宋体"/>
          <w:kern w:val="0"/>
          <w:highlight w:val="none"/>
        </w:rPr>
      </w:pPr>
      <w:r>
        <w:rPr>
          <w:rFonts w:hint="eastAsia" w:ascii="宋体" w:hAnsi="宋体"/>
          <w:kern w:val="0"/>
          <w:highlight w:val="none"/>
        </w:rPr>
        <w:t>本授权委托书声明：我</w:t>
      </w:r>
      <w:r>
        <w:rPr>
          <w:rFonts w:hint="eastAsia" w:ascii="宋体" w:hAnsi="宋体"/>
          <w:kern w:val="0"/>
          <w:highlight w:val="none"/>
          <w:u w:val="single"/>
        </w:rPr>
        <w:t xml:space="preserve">（法人姓名）       </w:t>
      </w:r>
      <w:r>
        <w:rPr>
          <w:rFonts w:hint="eastAsia" w:ascii="宋体" w:hAnsi="宋体"/>
          <w:kern w:val="0"/>
          <w:highlight w:val="none"/>
        </w:rPr>
        <w:t>系</w:t>
      </w:r>
      <w:r>
        <w:rPr>
          <w:rFonts w:hint="eastAsia" w:ascii="宋体" w:hAnsi="宋体"/>
          <w:kern w:val="0"/>
          <w:highlight w:val="none"/>
          <w:u w:val="single"/>
        </w:rPr>
        <w:t xml:space="preserve">（投标人名称）                  </w:t>
      </w:r>
      <w:r>
        <w:rPr>
          <w:rFonts w:hint="eastAsia" w:ascii="宋体" w:hAnsi="宋体"/>
          <w:kern w:val="0"/>
          <w:highlight w:val="none"/>
        </w:rPr>
        <w:t xml:space="preserve"> 的法定代表人，现授权委托</w:t>
      </w:r>
      <w:r>
        <w:rPr>
          <w:rFonts w:hint="eastAsia" w:ascii="宋体" w:hAnsi="宋体"/>
          <w:kern w:val="0"/>
          <w:highlight w:val="none"/>
          <w:u w:val="single"/>
        </w:rPr>
        <w:t xml:space="preserve">（投标人名称）                   </w:t>
      </w:r>
      <w:r>
        <w:rPr>
          <w:rFonts w:hint="eastAsia" w:ascii="宋体" w:hAnsi="宋体"/>
          <w:kern w:val="0"/>
          <w:highlight w:val="none"/>
        </w:rPr>
        <w:t xml:space="preserve"> 的</w:t>
      </w:r>
      <w:r>
        <w:rPr>
          <w:rFonts w:hint="eastAsia" w:ascii="宋体" w:hAnsi="宋体"/>
          <w:kern w:val="0"/>
          <w:highlight w:val="none"/>
          <w:u w:val="single"/>
        </w:rPr>
        <w:t xml:space="preserve"> （授权代表姓名）</w:t>
      </w:r>
      <w:r>
        <w:rPr>
          <w:rFonts w:hint="eastAsia" w:ascii="宋体" w:hAnsi="宋体"/>
          <w:kern w:val="0"/>
          <w:highlight w:val="none"/>
        </w:rPr>
        <w:t xml:space="preserve"> 为我公司参加贵方组织的</w:t>
      </w:r>
      <w:r>
        <w:rPr>
          <w:rFonts w:hint="eastAsia" w:ascii="宋体" w:hAnsi="宋体"/>
          <w:sz w:val="21"/>
          <w:highlight w:val="none"/>
          <w:u w:val="single"/>
          <w:lang w:val="en-US" w:eastAsia="zh-CN"/>
        </w:rPr>
        <w:t>移动源环保监控升级改造</w:t>
      </w:r>
      <w:r>
        <w:rPr>
          <w:rFonts w:hint="eastAsia" w:ascii="宋体" w:hAnsi="宋体"/>
          <w:highlight w:val="none"/>
          <w:u w:val="single"/>
        </w:rPr>
        <w:t>项目</w:t>
      </w:r>
      <w:r>
        <w:rPr>
          <w:rFonts w:hint="eastAsia" w:ascii="宋体" w:hAnsi="宋体"/>
          <w:kern w:val="0"/>
          <w:highlight w:val="none"/>
        </w:rPr>
        <w:t>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84A0650">
      <w:pPr>
        <w:spacing w:line="360" w:lineRule="auto"/>
        <w:ind w:firstLine="420"/>
        <w:rPr>
          <w:rFonts w:ascii="宋体"/>
          <w:kern w:val="0"/>
          <w:highlight w:val="none"/>
        </w:rPr>
      </w:pPr>
      <w:r>
        <w:rPr>
          <w:rFonts w:hint="eastAsia" w:ascii="宋体" w:hAnsi="宋体"/>
          <w:kern w:val="0"/>
          <w:highlight w:val="none"/>
        </w:rPr>
        <w:t>委托期限：</w:t>
      </w:r>
      <w:r>
        <w:rPr>
          <w:rFonts w:ascii="宋体" w:hAnsi="宋体"/>
          <w:kern w:val="0"/>
          <w:highlight w:val="none"/>
          <w:u w:val="single"/>
        </w:rPr>
        <w:t>20</w:t>
      </w:r>
      <w:r>
        <w:rPr>
          <w:rFonts w:hint="eastAsia" w:ascii="宋体" w:hAnsi="宋体"/>
          <w:kern w:val="0"/>
          <w:highlight w:val="none"/>
          <w:u w:val="single"/>
        </w:rPr>
        <w:t>XX</w:t>
      </w:r>
      <w:r>
        <w:rPr>
          <w:rFonts w:ascii="宋体" w:hAnsi="宋体"/>
          <w:kern w:val="0"/>
          <w:highlight w:val="none"/>
          <w:u w:val="single"/>
        </w:rPr>
        <w:t xml:space="preserve">  </w:t>
      </w:r>
      <w:r>
        <w:rPr>
          <w:rFonts w:hint="eastAsia" w:ascii="宋体" w:hAnsi="宋体"/>
          <w:kern w:val="0"/>
          <w:highlight w:val="none"/>
          <w:u w:val="single"/>
        </w:rPr>
        <w:t>年X</w:t>
      </w:r>
      <w:r>
        <w:rPr>
          <w:rFonts w:ascii="宋体" w:hAnsi="宋体"/>
          <w:kern w:val="0"/>
          <w:highlight w:val="none"/>
          <w:u w:val="single"/>
        </w:rPr>
        <w:t xml:space="preserve"> </w:t>
      </w:r>
      <w:r>
        <w:rPr>
          <w:rFonts w:hint="eastAsia" w:ascii="宋体" w:hAnsi="宋体"/>
          <w:kern w:val="0"/>
          <w:highlight w:val="none"/>
          <w:u w:val="single"/>
        </w:rPr>
        <w:t>月</w:t>
      </w:r>
      <w:r>
        <w:rPr>
          <w:rFonts w:ascii="宋体" w:hAnsi="宋体"/>
          <w:kern w:val="0"/>
          <w:highlight w:val="none"/>
          <w:u w:val="single"/>
        </w:rPr>
        <w:t xml:space="preserve"> </w:t>
      </w:r>
      <w:r>
        <w:rPr>
          <w:rFonts w:hint="eastAsia" w:ascii="宋体" w:hAnsi="宋体"/>
          <w:kern w:val="0"/>
          <w:highlight w:val="none"/>
          <w:u w:val="single"/>
        </w:rPr>
        <w:t>X</w:t>
      </w:r>
      <w:r>
        <w:rPr>
          <w:rFonts w:ascii="宋体" w:hAnsi="宋体"/>
          <w:kern w:val="0"/>
          <w:highlight w:val="none"/>
          <w:u w:val="single"/>
        </w:rPr>
        <w:t xml:space="preserve"> </w:t>
      </w:r>
      <w:r>
        <w:rPr>
          <w:rFonts w:hint="eastAsia" w:ascii="宋体" w:hAnsi="宋体"/>
          <w:kern w:val="0"/>
          <w:highlight w:val="none"/>
          <w:u w:val="single"/>
        </w:rPr>
        <w:t>日至</w:t>
      </w:r>
      <w:r>
        <w:rPr>
          <w:rFonts w:ascii="宋体" w:hAnsi="宋体"/>
          <w:kern w:val="0"/>
          <w:highlight w:val="none"/>
          <w:u w:val="single"/>
        </w:rPr>
        <w:t xml:space="preserve"> 20</w:t>
      </w:r>
      <w:r>
        <w:rPr>
          <w:rFonts w:hint="eastAsia" w:ascii="宋体" w:hAnsi="宋体"/>
          <w:kern w:val="0"/>
          <w:highlight w:val="none"/>
          <w:u w:val="single"/>
        </w:rPr>
        <w:t>XX</w:t>
      </w:r>
      <w:r>
        <w:rPr>
          <w:rFonts w:ascii="宋体" w:hAnsi="宋体"/>
          <w:kern w:val="0"/>
          <w:highlight w:val="none"/>
          <w:u w:val="single"/>
        </w:rPr>
        <w:t xml:space="preserve">  </w:t>
      </w:r>
      <w:r>
        <w:rPr>
          <w:rFonts w:hint="eastAsia" w:ascii="宋体" w:hAnsi="宋体"/>
          <w:kern w:val="0"/>
          <w:highlight w:val="none"/>
          <w:u w:val="single"/>
        </w:rPr>
        <w:t>年</w:t>
      </w:r>
      <w:r>
        <w:rPr>
          <w:rFonts w:ascii="宋体" w:hAnsi="宋体"/>
          <w:kern w:val="0"/>
          <w:highlight w:val="none"/>
          <w:u w:val="single"/>
        </w:rPr>
        <w:t xml:space="preserve"> </w:t>
      </w:r>
      <w:r>
        <w:rPr>
          <w:rFonts w:hint="eastAsia" w:ascii="宋体" w:hAnsi="宋体"/>
          <w:kern w:val="0"/>
          <w:highlight w:val="none"/>
          <w:u w:val="single"/>
        </w:rPr>
        <w:t>X</w:t>
      </w:r>
      <w:r>
        <w:rPr>
          <w:rFonts w:ascii="宋体" w:hAnsi="宋体"/>
          <w:kern w:val="0"/>
          <w:highlight w:val="none"/>
          <w:u w:val="single"/>
        </w:rPr>
        <w:t xml:space="preserve"> </w:t>
      </w:r>
      <w:r>
        <w:rPr>
          <w:rFonts w:hint="eastAsia" w:ascii="宋体" w:hAnsi="宋体"/>
          <w:kern w:val="0"/>
          <w:highlight w:val="none"/>
          <w:u w:val="single"/>
        </w:rPr>
        <w:t>月</w:t>
      </w:r>
      <w:r>
        <w:rPr>
          <w:rFonts w:ascii="宋体" w:hAnsi="宋体"/>
          <w:kern w:val="0"/>
          <w:highlight w:val="none"/>
          <w:u w:val="single"/>
        </w:rPr>
        <w:t xml:space="preserve"> </w:t>
      </w:r>
      <w:r>
        <w:rPr>
          <w:rFonts w:hint="eastAsia" w:ascii="宋体" w:hAnsi="宋体"/>
          <w:kern w:val="0"/>
          <w:highlight w:val="none"/>
          <w:u w:val="single"/>
        </w:rPr>
        <w:t>X</w:t>
      </w:r>
      <w:r>
        <w:rPr>
          <w:rFonts w:ascii="宋体" w:hAnsi="宋体"/>
          <w:kern w:val="0"/>
          <w:highlight w:val="none"/>
          <w:u w:val="single"/>
        </w:rPr>
        <w:t xml:space="preserve"> </w:t>
      </w:r>
      <w:r>
        <w:rPr>
          <w:rFonts w:hint="eastAsia" w:ascii="宋体" w:hAnsi="宋体"/>
          <w:kern w:val="0"/>
          <w:highlight w:val="none"/>
          <w:u w:val="single"/>
        </w:rPr>
        <w:t>日</w:t>
      </w:r>
    </w:p>
    <w:p w14:paraId="56EC0511">
      <w:pPr>
        <w:spacing w:line="360" w:lineRule="auto"/>
        <w:ind w:firstLine="420"/>
        <w:rPr>
          <w:rFonts w:ascii="宋体"/>
          <w:kern w:val="0"/>
          <w:highlight w:val="none"/>
        </w:rPr>
      </w:pPr>
      <w:r>
        <w:rPr>
          <w:rFonts w:hint="eastAsia" w:ascii="宋体" w:hAnsi="宋体"/>
          <w:kern w:val="0"/>
          <w:highlight w:val="none"/>
        </w:rPr>
        <w:t>授权代表无转委托权，特此委托。</w:t>
      </w:r>
    </w:p>
    <w:p w14:paraId="027E38B5">
      <w:pPr>
        <w:spacing w:line="360" w:lineRule="auto"/>
        <w:ind w:firstLine="420"/>
        <w:rPr>
          <w:rFonts w:ascii="宋体"/>
          <w:kern w:val="0"/>
          <w:highlight w:val="none"/>
        </w:rPr>
      </w:pPr>
      <w:r>
        <w:rPr>
          <w:rFonts w:hint="eastAsia" w:ascii="宋体" w:hAnsi="宋体"/>
          <w:kern w:val="0"/>
          <w:highlight w:val="none"/>
          <w:u w:val="single"/>
        </w:rPr>
        <w:t>授权代表</w:t>
      </w:r>
      <w:r>
        <w:rPr>
          <w:rFonts w:hint="eastAsia" w:ascii="宋体" w:hAnsi="宋体"/>
          <w:kern w:val="0"/>
          <w:highlight w:val="none"/>
        </w:rPr>
        <w:t>姓名：</w:t>
      </w:r>
      <w:r>
        <w:rPr>
          <w:rFonts w:ascii="宋体" w:hAnsi="宋体"/>
          <w:kern w:val="0"/>
          <w:highlight w:val="none"/>
          <w:u w:val="single"/>
        </w:rPr>
        <w:t xml:space="preserve"> </w:t>
      </w:r>
      <w:r>
        <w:rPr>
          <w:rFonts w:hint="eastAsia" w:ascii="宋体" w:hAnsi="宋体"/>
          <w:kern w:val="0"/>
          <w:highlight w:val="none"/>
          <w:u w:val="single"/>
        </w:rPr>
        <w:t xml:space="preserve">     </w:t>
      </w:r>
      <w:r>
        <w:rPr>
          <w:rFonts w:ascii="宋体" w:hAnsi="宋体"/>
          <w:kern w:val="0"/>
          <w:highlight w:val="none"/>
          <w:u w:val="single"/>
        </w:rPr>
        <w:t xml:space="preserve"> </w:t>
      </w:r>
      <w:r>
        <w:rPr>
          <w:rFonts w:ascii="宋体" w:hAnsi="宋体"/>
          <w:kern w:val="0"/>
          <w:highlight w:val="none"/>
        </w:rPr>
        <w:t xml:space="preserve">   </w:t>
      </w:r>
      <w:r>
        <w:rPr>
          <w:rFonts w:hint="eastAsia" w:ascii="宋体" w:hAnsi="宋体"/>
          <w:kern w:val="0"/>
          <w:highlight w:val="none"/>
        </w:rPr>
        <w:t>性别：</w:t>
      </w:r>
      <w:r>
        <w:rPr>
          <w:rFonts w:ascii="宋体" w:hAnsi="宋体"/>
          <w:kern w:val="0"/>
          <w:highlight w:val="none"/>
        </w:rPr>
        <w:t xml:space="preserve"> </w:t>
      </w:r>
      <w:r>
        <w:rPr>
          <w:rFonts w:ascii="宋体" w:hAnsi="宋体"/>
          <w:kern w:val="0"/>
          <w:highlight w:val="none"/>
          <w:u w:val="single"/>
        </w:rPr>
        <w:t xml:space="preserve">  </w:t>
      </w:r>
      <w:r>
        <w:rPr>
          <w:rFonts w:hint="eastAsia" w:ascii="宋体" w:hAnsi="宋体"/>
          <w:kern w:val="0"/>
          <w:highlight w:val="none"/>
          <w:u w:val="single"/>
        </w:rPr>
        <w:t xml:space="preserve">  </w:t>
      </w:r>
      <w:r>
        <w:rPr>
          <w:rFonts w:ascii="宋体" w:hAnsi="宋体"/>
          <w:kern w:val="0"/>
          <w:highlight w:val="none"/>
          <w:u w:val="single"/>
        </w:rPr>
        <w:t xml:space="preserve">  </w:t>
      </w:r>
      <w:r>
        <w:rPr>
          <w:rFonts w:ascii="宋体" w:hAnsi="宋体"/>
          <w:kern w:val="0"/>
          <w:highlight w:val="none"/>
        </w:rPr>
        <w:t xml:space="preserve">    </w:t>
      </w:r>
      <w:r>
        <w:rPr>
          <w:rFonts w:hint="eastAsia" w:ascii="宋体" w:hAnsi="宋体"/>
          <w:kern w:val="0"/>
          <w:highlight w:val="none"/>
        </w:rPr>
        <w:t>年龄：</w:t>
      </w:r>
      <w:r>
        <w:rPr>
          <w:rFonts w:ascii="宋体" w:hAnsi="宋体"/>
          <w:kern w:val="0"/>
          <w:highlight w:val="none"/>
        </w:rPr>
        <w:t xml:space="preserve"> </w:t>
      </w:r>
      <w:r>
        <w:rPr>
          <w:rFonts w:ascii="宋体" w:hAnsi="宋体"/>
          <w:kern w:val="0"/>
          <w:highlight w:val="none"/>
          <w:u w:val="single"/>
        </w:rPr>
        <w:t xml:space="preserve">  </w:t>
      </w:r>
      <w:r>
        <w:rPr>
          <w:rFonts w:hint="eastAsia" w:ascii="宋体" w:hAnsi="宋体"/>
          <w:kern w:val="0"/>
          <w:highlight w:val="none"/>
          <w:u w:val="single"/>
        </w:rPr>
        <w:t xml:space="preserve">  </w:t>
      </w:r>
      <w:r>
        <w:rPr>
          <w:rFonts w:ascii="宋体" w:hAnsi="宋体"/>
          <w:kern w:val="0"/>
          <w:highlight w:val="none"/>
          <w:u w:val="single"/>
        </w:rPr>
        <w:t xml:space="preserve">  </w:t>
      </w:r>
    </w:p>
    <w:p w14:paraId="335A9A5C">
      <w:pPr>
        <w:spacing w:line="360" w:lineRule="auto"/>
        <w:ind w:firstLine="420"/>
        <w:rPr>
          <w:rFonts w:ascii="宋体"/>
          <w:kern w:val="0"/>
          <w:highlight w:val="none"/>
        </w:rPr>
      </w:pPr>
      <w:r>
        <w:rPr>
          <w:rFonts w:hint="eastAsia" w:ascii="宋体" w:hAnsi="宋体"/>
          <w:kern w:val="0"/>
          <w:highlight w:val="none"/>
        </w:rPr>
        <w:t>身份证号码：</w:t>
      </w:r>
      <w:r>
        <w:rPr>
          <w:rFonts w:ascii="宋体" w:hAnsi="宋体"/>
          <w:kern w:val="0"/>
          <w:highlight w:val="none"/>
          <w:u w:val="single"/>
        </w:rPr>
        <w:t xml:space="preserve"> </w:t>
      </w:r>
      <w:r>
        <w:rPr>
          <w:rFonts w:hint="eastAsia" w:ascii="宋体" w:hAnsi="宋体"/>
          <w:kern w:val="0"/>
          <w:highlight w:val="none"/>
          <w:u w:val="single"/>
        </w:rPr>
        <w:t xml:space="preserve">                  </w:t>
      </w:r>
      <w:r>
        <w:rPr>
          <w:rFonts w:ascii="宋体" w:hAnsi="宋体"/>
          <w:kern w:val="0"/>
          <w:highlight w:val="none"/>
          <w:u w:val="single"/>
        </w:rPr>
        <w:t xml:space="preserve"> </w:t>
      </w:r>
      <w:r>
        <w:rPr>
          <w:rFonts w:ascii="宋体" w:hAnsi="宋体"/>
          <w:kern w:val="0"/>
          <w:highlight w:val="none"/>
        </w:rPr>
        <w:t xml:space="preserve">  </w:t>
      </w:r>
      <w:r>
        <w:rPr>
          <w:rFonts w:hint="eastAsia" w:ascii="宋体" w:hAnsi="宋体"/>
          <w:kern w:val="0"/>
          <w:highlight w:val="none"/>
        </w:rPr>
        <w:t>职务：</w:t>
      </w:r>
      <w:r>
        <w:rPr>
          <w:rFonts w:ascii="宋体" w:hAnsi="宋体"/>
          <w:kern w:val="0"/>
          <w:highlight w:val="none"/>
        </w:rPr>
        <w:t xml:space="preserve"> </w:t>
      </w:r>
      <w:r>
        <w:rPr>
          <w:rFonts w:hint="eastAsia" w:ascii="宋体" w:hAnsi="宋体"/>
          <w:kern w:val="0"/>
          <w:highlight w:val="none"/>
          <w:u w:val="single"/>
        </w:rPr>
        <w:t xml:space="preserve">       </w:t>
      </w:r>
      <w:r>
        <w:rPr>
          <w:rFonts w:ascii="宋体" w:hAnsi="宋体"/>
          <w:kern w:val="0"/>
          <w:highlight w:val="none"/>
        </w:rPr>
        <w:t xml:space="preserve">    </w:t>
      </w:r>
    </w:p>
    <w:p w14:paraId="34BC7C21">
      <w:pPr>
        <w:spacing w:line="360" w:lineRule="auto"/>
        <w:ind w:firstLine="420"/>
        <w:rPr>
          <w:rFonts w:ascii="宋体"/>
          <w:kern w:val="0"/>
          <w:highlight w:val="none"/>
        </w:rPr>
      </w:pPr>
      <w:r>
        <w:rPr>
          <w:rFonts w:hint="eastAsia" w:ascii="宋体" w:hAnsi="宋体"/>
          <w:kern w:val="0"/>
          <w:highlight w:val="none"/>
        </w:rPr>
        <w:t>投标人名称：（盖单位公章）</w:t>
      </w:r>
    </w:p>
    <w:p w14:paraId="157C9B33">
      <w:pPr>
        <w:spacing w:line="360" w:lineRule="auto"/>
        <w:ind w:firstLine="420"/>
        <w:rPr>
          <w:rFonts w:ascii="宋体"/>
          <w:kern w:val="0"/>
          <w:highlight w:val="none"/>
        </w:rPr>
      </w:pPr>
      <w:r>
        <w:rPr>
          <w:rFonts w:hint="eastAsia" w:ascii="宋体" w:hAnsi="宋体"/>
          <w:kern w:val="0"/>
          <w:highlight w:val="none"/>
        </w:rPr>
        <w:t>法定代表人：（签字）</w:t>
      </w:r>
    </w:p>
    <w:p w14:paraId="30701DF6">
      <w:pPr>
        <w:adjustRightInd w:val="0"/>
        <w:spacing w:line="480" w:lineRule="exact"/>
        <w:ind w:firstLine="562"/>
        <w:jc w:val="left"/>
        <w:textAlignment w:val="baseline"/>
        <w:rPr>
          <w:rFonts w:ascii="宋体"/>
          <w:b/>
          <w:kern w:val="0"/>
          <w:highlight w:val="none"/>
        </w:rPr>
      </w:pPr>
      <w:r>
        <w:rPr>
          <w:rFonts w:hint="eastAsia" w:ascii="宋体" w:hAnsi="宋体"/>
          <w:b/>
          <w:kern w:val="0"/>
          <w:sz w:val="28"/>
          <w:szCs w:val="28"/>
          <w:highlight w:val="none"/>
        </w:rPr>
        <w:t>附法人代表及被授权人（授权代表）有效的身份证正反两面复印件</w:t>
      </w:r>
    </w:p>
    <w:p w14:paraId="3B0BF986">
      <w:pPr>
        <w:pStyle w:val="11"/>
        <w:rPr>
          <w:highlight w:val="none"/>
        </w:rPr>
      </w:pPr>
    </w:p>
    <w:p w14:paraId="78CBB820">
      <w:pPr>
        <w:rPr>
          <w:highlight w:val="none"/>
        </w:rPr>
      </w:pPr>
    </w:p>
    <w:p w14:paraId="46BC1CBA">
      <w:pPr>
        <w:pStyle w:val="11"/>
        <w:rPr>
          <w:highlight w:val="none"/>
        </w:rPr>
      </w:pPr>
    </w:p>
    <w:p w14:paraId="160CD087">
      <w:pPr>
        <w:rPr>
          <w:highlight w:val="none"/>
        </w:rPr>
      </w:pPr>
    </w:p>
    <w:p w14:paraId="14C583E2">
      <w:pPr>
        <w:pStyle w:val="11"/>
        <w:rPr>
          <w:highlight w:val="none"/>
        </w:rPr>
      </w:pPr>
    </w:p>
    <w:p w14:paraId="0D133D4F">
      <w:pPr>
        <w:rPr>
          <w:highlight w:val="none"/>
        </w:rPr>
      </w:pPr>
    </w:p>
    <w:p w14:paraId="3FBD9B30">
      <w:pPr>
        <w:pStyle w:val="11"/>
        <w:rPr>
          <w:highlight w:val="none"/>
        </w:rPr>
      </w:pPr>
    </w:p>
    <w:p w14:paraId="7F52B002">
      <w:pPr>
        <w:rPr>
          <w:highlight w:val="none"/>
        </w:rPr>
      </w:pPr>
    </w:p>
    <w:p w14:paraId="617B415A">
      <w:pPr>
        <w:pStyle w:val="11"/>
        <w:rPr>
          <w:highlight w:val="none"/>
        </w:rPr>
      </w:pPr>
    </w:p>
    <w:p w14:paraId="4B125468">
      <w:pPr>
        <w:rPr>
          <w:highlight w:val="none"/>
        </w:rPr>
      </w:pPr>
    </w:p>
    <w:p w14:paraId="5B873D96">
      <w:pPr>
        <w:pStyle w:val="11"/>
        <w:rPr>
          <w:highlight w:val="none"/>
        </w:rPr>
      </w:pPr>
    </w:p>
    <w:p w14:paraId="6CEBE587">
      <w:pPr>
        <w:pStyle w:val="11"/>
        <w:rPr>
          <w:highlight w:val="none"/>
        </w:rPr>
      </w:pPr>
    </w:p>
    <w:p w14:paraId="3E2414F2">
      <w:pPr>
        <w:spacing w:line="660" w:lineRule="exact"/>
        <w:ind w:firstLine="562"/>
        <w:rPr>
          <w:rFonts w:hint="eastAsia" w:ascii="宋体" w:hAnsi="宋体" w:eastAsia="黑体"/>
          <w:sz w:val="24"/>
          <w:highlight w:val="none"/>
          <w:lang w:eastAsia="zh-CN"/>
        </w:rPr>
      </w:pPr>
      <w:r>
        <w:rPr>
          <w:rFonts w:hint="eastAsia" w:eastAsia="黑体"/>
          <w:b/>
          <w:bCs/>
          <w:sz w:val="28"/>
          <w:highlight w:val="none"/>
        </w:rPr>
        <w:t>附件</w:t>
      </w:r>
      <w:r>
        <w:rPr>
          <w:rFonts w:hint="eastAsia" w:eastAsia="黑体"/>
          <w:b/>
          <w:bCs/>
          <w:sz w:val="28"/>
          <w:highlight w:val="none"/>
          <w:lang w:val="en-US" w:eastAsia="zh-CN"/>
        </w:rPr>
        <w:t>3</w:t>
      </w:r>
    </w:p>
    <w:p w14:paraId="32E2795C">
      <w:pPr>
        <w:ind w:firstLine="420"/>
        <w:rPr>
          <w:rFonts w:ascii="宋体" w:hAnsi="宋体"/>
          <w:highlight w:val="none"/>
        </w:rPr>
      </w:pPr>
      <w:r>
        <w:rPr>
          <w:rFonts w:hint="eastAsia" w:ascii="宋体" w:hAnsi="宋体"/>
          <w:highlight w:val="none"/>
        </w:rPr>
        <w:t>项目名称：</w:t>
      </w:r>
      <w:r>
        <w:rPr>
          <w:rFonts w:hint="eastAsia" w:ascii="宋体" w:hAnsi="宋体"/>
          <w:sz w:val="21"/>
          <w:highlight w:val="none"/>
          <w:u w:val="single"/>
          <w:lang w:val="en-US" w:eastAsia="zh-CN"/>
        </w:rPr>
        <w:t>移动源环保监控升级改造</w:t>
      </w:r>
      <w:r>
        <w:rPr>
          <w:rFonts w:hint="eastAsia" w:ascii="宋体" w:hAnsi="宋体"/>
          <w:highlight w:val="none"/>
          <w:u w:val="single"/>
        </w:rPr>
        <w:t>项目</w:t>
      </w:r>
    </w:p>
    <w:p w14:paraId="1B6D2600">
      <w:pPr>
        <w:ind w:firstLine="420"/>
        <w:rPr>
          <w:rFonts w:ascii="宋体" w:hAnsi="宋体"/>
          <w:highlight w:val="none"/>
        </w:rPr>
      </w:pPr>
    </w:p>
    <w:p w14:paraId="4F589F48">
      <w:pPr>
        <w:ind w:firstLine="420"/>
        <w:rPr>
          <w:rFonts w:ascii="宋体" w:hAnsi="宋体"/>
          <w:highlight w:val="none"/>
        </w:rPr>
      </w:pPr>
      <w:r>
        <w:rPr>
          <w:rFonts w:hint="eastAsia" w:ascii="宋体" w:hAnsi="宋体"/>
          <w:highlight w:val="none"/>
        </w:rPr>
        <w:t>日期：  年   月   日</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11A9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9286" w:type="dxa"/>
          </w:tcPr>
          <w:p w14:paraId="3A1FEE58">
            <w:pPr>
              <w:ind w:firstLine="480"/>
              <w:rPr>
                <w:rFonts w:ascii="仿宋_GB2312" w:hAnsi="宋体" w:eastAsia="仿宋_GB2312"/>
                <w:sz w:val="24"/>
                <w:highlight w:val="none"/>
              </w:rPr>
            </w:pPr>
            <w:r>
              <w:rPr>
                <w:rFonts w:hint="eastAsia" w:ascii="仿宋_GB2312" w:hAnsi="宋体" w:eastAsia="仿宋_GB2312"/>
                <w:sz w:val="24"/>
                <w:highlight w:val="none"/>
              </w:rPr>
              <w:t>投标人承诺：</w:t>
            </w:r>
          </w:p>
          <w:p w14:paraId="5994C29C">
            <w:pPr>
              <w:pStyle w:val="7"/>
              <w:spacing w:line="360" w:lineRule="auto"/>
              <w:ind w:firstLine="480"/>
              <w:rPr>
                <w:rFonts w:ascii="仿宋_GB2312" w:hAnsi="宋体" w:eastAsia="仿宋_GB2312"/>
                <w:sz w:val="24"/>
                <w:highlight w:val="none"/>
              </w:rPr>
            </w:pPr>
            <w:r>
              <w:rPr>
                <w:rFonts w:hint="eastAsia" w:ascii="仿宋_GB2312" w:hAnsi="宋体" w:eastAsia="仿宋_GB2312"/>
                <w:sz w:val="24"/>
                <w:highlight w:val="none"/>
              </w:rPr>
              <w:t>我公司承诺遵</w:t>
            </w:r>
            <w:r>
              <w:rPr>
                <w:rFonts w:hint="eastAsia" w:ascii="仿宋_GB2312" w:hAnsi="宋体" w:eastAsia="仿宋_GB2312"/>
                <w:sz w:val="24"/>
                <w:szCs w:val="22"/>
                <w:highlight w:val="none"/>
              </w:rPr>
              <w:t>守贵公司由于招标人上级集团公司政策变化引起的合同签订前终止项目的要求，并承担由此带来的一切损失。</w:t>
            </w:r>
          </w:p>
          <w:p w14:paraId="393B5F60">
            <w:pPr>
              <w:ind w:firstLine="480"/>
              <w:rPr>
                <w:rFonts w:ascii="仿宋_GB2312" w:hAnsi="宋体" w:eastAsia="仿宋_GB2312"/>
                <w:sz w:val="24"/>
                <w:highlight w:val="none"/>
              </w:rPr>
            </w:pPr>
          </w:p>
        </w:tc>
      </w:tr>
    </w:tbl>
    <w:p w14:paraId="490471D0">
      <w:pPr>
        <w:ind w:firstLine="480"/>
        <w:rPr>
          <w:rFonts w:ascii="仿宋_GB2312" w:hAnsi="宋体" w:eastAsia="仿宋_GB2312"/>
          <w:sz w:val="24"/>
          <w:highlight w:val="none"/>
        </w:rPr>
      </w:pPr>
    </w:p>
    <w:p w14:paraId="175524B9">
      <w:pPr>
        <w:ind w:firstLine="480"/>
        <w:rPr>
          <w:rFonts w:ascii="仿宋_GB2312" w:hAnsi="宋体" w:eastAsia="仿宋_GB2312"/>
          <w:sz w:val="24"/>
          <w:highlight w:val="none"/>
        </w:rPr>
      </w:pPr>
    </w:p>
    <w:p w14:paraId="5E3B013D">
      <w:pPr>
        <w:ind w:firstLine="480"/>
        <w:rPr>
          <w:rFonts w:ascii="仿宋_GB2312" w:hAnsi="宋体" w:eastAsia="仿宋_GB2312"/>
          <w:sz w:val="24"/>
          <w:highlight w:val="none"/>
        </w:rPr>
      </w:pPr>
    </w:p>
    <w:p w14:paraId="1B5F69C8">
      <w:pPr>
        <w:ind w:firstLine="480"/>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56C6355F">
      <w:pPr>
        <w:ind w:firstLine="562"/>
        <w:rPr>
          <w:rFonts w:eastAsia="黑体"/>
          <w:b/>
          <w:bCs/>
          <w:sz w:val="28"/>
          <w:highlight w:val="none"/>
        </w:rPr>
      </w:pPr>
    </w:p>
    <w:p w14:paraId="18579C85">
      <w:pPr>
        <w:ind w:firstLine="562"/>
        <w:rPr>
          <w:rFonts w:eastAsia="黑体"/>
          <w:b/>
          <w:bCs/>
          <w:sz w:val="28"/>
          <w:highlight w:val="none"/>
        </w:rPr>
      </w:pPr>
      <w:r>
        <w:rPr>
          <w:rFonts w:hint="eastAsia" w:eastAsia="黑体"/>
          <w:b/>
          <w:bCs/>
          <w:sz w:val="28"/>
          <w:highlight w:val="none"/>
        </w:rPr>
        <w:t>附件</w:t>
      </w:r>
      <w:r>
        <w:rPr>
          <w:rFonts w:hint="eastAsia" w:eastAsia="黑体"/>
          <w:b/>
          <w:bCs/>
          <w:sz w:val="28"/>
          <w:highlight w:val="none"/>
          <w:lang w:val="en-US" w:eastAsia="zh-CN"/>
        </w:rPr>
        <w:t>4</w:t>
      </w:r>
      <w:r>
        <w:rPr>
          <w:rFonts w:hint="eastAsia" w:eastAsia="黑体"/>
          <w:b/>
          <w:bCs/>
          <w:sz w:val="28"/>
          <w:highlight w:val="none"/>
        </w:rPr>
        <w:t>：</w:t>
      </w:r>
    </w:p>
    <w:p w14:paraId="6E33FCB9">
      <w:pPr>
        <w:ind w:firstLine="420"/>
        <w:rPr>
          <w:rFonts w:ascii="宋体" w:hAnsi="宋体"/>
          <w:highlight w:val="none"/>
          <w:u w:val="singl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sz w:val="21"/>
          <w:highlight w:val="none"/>
          <w:u w:val="single"/>
          <w:lang w:val="en-US" w:eastAsia="zh-CN"/>
        </w:rPr>
        <w:t>移动源环保监控升级改造</w:t>
      </w:r>
      <w:r>
        <w:rPr>
          <w:rFonts w:hint="eastAsia" w:ascii="宋体" w:hAnsi="宋体"/>
          <w:highlight w:val="none"/>
          <w:u w:val="single"/>
        </w:rPr>
        <w:t>项目</w:t>
      </w:r>
    </w:p>
    <w:p w14:paraId="789AFF54">
      <w:pPr>
        <w:ind w:firstLine="420"/>
        <w:rPr>
          <w:rFonts w:ascii="宋体" w:hAnsi="宋体"/>
          <w:highlight w:val="none"/>
        </w:rPr>
      </w:pPr>
      <w:r>
        <w:rPr>
          <w:rFonts w:hint="eastAsia" w:ascii="宋体" w:hAnsi="宋体"/>
          <w:highlight w:val="none"/>
        </w:rPr>
        <w:t>日期：      年     月      日</w:t>
      </w:r>
    </w:p>
    <w:p w14:paraId="5CA444D7">
      <w:pPr>
        <w:pStyle w:val="5"/>
        <w:spacing w:line="460" w:lineRule="exact"/>
        <w:ind w:firstLine="422"/>
        <w:jc w:val="center"/>
        <w:rPr>
          <w:rFonts w:ascii="宋体" w:hAnsi="宋体" w:cs="宋体"/>
          <w:b/>
          <w:bCs/>
          <w:szCs w:val="32"/>
          <w:highlight w:val="none"/>
        </w:rPr>
      </w:pPr>
      <w:r>
        <w:rPr>
          <w:rFonts w:ascii="宋体" w:hAnsi="宋体" w:cs="宋体"/>
          <w:b/>
          <w:bCs/>
          <w:szCs w:val="32"/>
          <w:highlight w:val="none"/>
        </w:rPr>
        <w:t>投标总报价</w:t>
      </w:r>
    </w:p>
    <w:tbl>
      <w:tblPr>
        <w:tblStyle w:val="12"/>
        <w:tblW w:w="9723" w:type="dxa"/>
        <w:jc w:val="center"/>
        <w:tblLayout w:type="fixed"/>
        <w:tblCellMar>
          <w:top w:w="0" w:type="dxa"/>
          <w:left w:w="108" w:type="dxa"/>
          <w:bottom w:w="0" w:type="dxa"/>
          <w:right w:w="108" w:type="dxa"/>
        </w:tblCellMar>
      </w:tblPr>
      <w:tblGrid>
        <w:gridCol w:w="846"/>
        <w:gridCol w:w="1134"/>
        <w:gridCol w:w="1559"/>
        <w:gridCol w:w="1276"/>
        <w:gridCol w:w="1984"/>
        <w:gridCol w:w="1418"/>
        <w:gridCol w:w="1506"/>
      </w:tblGrid>
      <w:tr w14:paraId="0178B40E">
        <w:tblPrEx>
          <w:tblCellMar>
            <w:top w:w="0" w:type="dxa"/>
            <w:left w:w="108" w:type="dxa"/>
            <w:bottom w:w="0" w:type="dxa"/>
            <w:right w:w="108" w:type="dxa"/>
          </w:tblCellMar>
        </w:tblPrEx>
        <w:trPr>
          <w:trHeight w:val="699" w:hRule="atLeast"/>
          <w:jc w:val="center"/>
        </w:trPr>
        <w:tc>
          <w:tcPr>
            <w:tcW w:w="846" w:type="dxa"/>
            <w:tcBorders>
              <w:top w:val="single" w:color="auto" w:sz="4" w:space="0"/>
              <w:left w:val="single" w:color="auto" w:sz="4" w:space="0"/>
              <w:bottom w:val="single" w:color="auto" w:sz="4" w:space="0"/>
              <w:right w:val="single" w:color="auto" w:sz="4" w:space="0"/>
            </w:tcBorders>
            <w:noWrap/>
            <w:vAlign w:val="center"/>
          </w:tcPr>
          <w:p w14:paraId="076B5BA3">
            <w:pPr>
              <w:jc w:val="center"/>
              <w:rPr>
                <w:rFonts w:ascii="宋体" w:hAnsi="宋体" w:cs="宋体"/>
                <w:color w:val="000000"/>
                <w:kern w:val="0"/>
                <w:highlight w:val="none"/>
              </w:rPr>
            </w:pPr>
            <w:r>
              <w:rPr>
                <w:rFonts w:hint="eastAsia" w:ascii="宋体" w:hAnsi="宋体" w:cs="宋体"/>
                <w:color w:val="000000"/>
                <w:kern w:val="0"/>
                <w:highlight w:val="none"/>
              </w:rPr>
              <w:t>序号</w:t>
            </w:r>
          </w:p>
        </w:tc>
        <w:tc>
          <w:tcPr>
            <w:tcW w:w="1134" w:type="dxa"/>
            <w:tcBorders>
              <w:top w:val="single" w:color="auto" w:sz="4" w:space="0"/>
              <w:left w:val="nil"/>
              <w:bottom w:val="single" w:color="auto" w:sz="4" w:space="0"/>
              <w:right w:val="single" w:color="auto" w:sz="4" w:space="0"/>
            </w:tcBorders>
            <w:noWrap/>
            <w:vAlign w:val="center"/>
          </w:tcPr>
          <w:p w14:paraId="435C8C2C">
            <w:pPr>
              <w:ind w:firstLine="420"/>
              <w:jc w:val="center"/>
              <w:rPr>
                <w:rFonts w:ascii="宋体" w:hAnsi="宋体" w:cs="宋体"/>
                <w:color w:val="000000"/>
                <w:kern w:val="0"/>
                <w:highlight w:val="none"/>
              </w:rPr>
            </w:pPr>
            <w:r>
              <w:rPr>
                <w:rFonts w:hint="eastAsia" w:ascii="宋体" w:hAnsi="宋体" w:cs="宋体"/>
                <w:color w:val="000000"/>
                <w:kern w:val="0"/>
                <w:highlight w:val="none"/>
              </w:rPr>
              <w:t>单位</w:t>
            </w:r>
          </w:p>
        </w:tc>
        <w:tc>
          <w:tcPr>
            <w:tcW w:w="1559" w:type="dxa"/>
            <w:tcBorders>
              <w:top w:val="single" w:color="auto" w:sz="4" w:space="0"/>
              <w:left w:val="nil"/>
              <w:bottom w:val="single" w:color="auto" w:sz="4" w:space="0"/>
              <w:right w:val="single" w:color="auto" w:sz="4" w:space="0"/>
            </w:tcBorders>
            <w:noWrap/>
            <w:vAlign w:val="center"/>
          </w:tcPr>
          <w:p w14:paraId="5C137B30">
            <w:pPr>
              <w:ind w:firstLine="420"/>
              <w:jc w:val="center"/>
              <w:rPr>
                <w:rFonts w:ascii="宋体" w:hAnsi="宋体" w:cs="宋体"/>
                <w:color w:val="000000"/>
                <w:kern w:val="0"/>
                <w:highlight w:val="none"/>
              </w:rPr>
            </w:pPr>
            <w:r>
              <w:rPr>
                <w:rFonts w:hint="eastAsia" w:ascii="宋体" w:hAnsi="宋体" w:cs="宋体"/>
                <w:color w:val="000000"/>
                <w:kern w:val="0"/>
                <w:highlight w:val="none"/>
              </w:rPr>
              <w:t>名称</w:t>
            </w:r>
          </w:p>
        </w:tc>
        <w:tc>
          <w:tcPr>
            <w:tcW w:w="1276" w:type="dxa"/>
            <w:tcBorders>
              <w:top w:val="single" w:color="auto" w:sz="4" w:space="0"/>
              <w:left w:val="single" w:color="auto" w:sz="4" w:space="0"/>
              <w:bottom w:val="single" w:color="auto" w:sz="4" w:space="0"/>
              <w:right w:val="single" w:color="auto" w:sz="4" w:space="0"/>
            </w:tcBorders>
            <w:vAlign w:val="center"/>
          </w:tcPr>
          <w:p w14:paraId="5F8D8C3B">
            <w:pPr>
              <w:jc w:val="center"/>
              <w:rPr>
                <w:rFonts w:ascii="宋体" w:hAnsi="宋体" w:cs="宋体"/>
                <w:color w:val="000000"/>
                <w:kern w:val="0"/>
                <w:highlight w:val="none"/>
              </w:rPr>
            </w:pPr>
            <w:r>
              <w:rPr>
                <w:rFonts w:hint="eastAsia" w:ascii="宋体" w:hAnsi="宋体" w:cs="宋体"/>
                <w:color w:val="000000"/>
                <w:kern w:val="0"/>
                <w:highlight w:val="none"/>
              </w:rPr>
              <w:t>未税单价（元）</w:t>
            </w:r>
          </w:p>
        </w:tc>
        <w:tc>
          <w:tcPr>
            <w:tcW w:w="1984" w:type="dxa"/>
            <w:tcBorders>
              <w:top w:val="single" w:color="auto" w:sz="4" w:space="0"/>
              <w:left w:val="nil"/>
              <w:bottom w:val="single" w:color="auto" w:sz="4" w:space="0"/>
              <w:right w:val="single" w:color="auto" w:sz="4" w:space="0"/>
            </w:tcBorders>
          </w:tcPr>
          <w:p w14:paraId="0ED50EB3">
            <w:pPr>
              <w:ind w:firstLine="199" w:firstLineChars="95"/>
              <w:jc w:val="center"/>
              <w:rPr>
                <w:rFonts w:ascii="宋体" w:hAnsi="宋体" w:cs="宋体"/>
                <w:color w:val="000000"/>
                <w:kern w:val="0"/>
                <w:highlight w:val="none"/>
              </w:rPr>
            </w:pPr>
            <w:r>
              <w:rPr>
                <w:rFonts w:hint="eastAsia" w:ascii="宋体" w:hAnsi="宋体" w:cs="宋体"/>
                <w:color w:val="000000"/>
                <w:kern w:val="0"/>
                <w:highlight w:val="none"/>
              </w:rPr>
              <w:t>开标价</w:t>
            </w:r>
          </w:p>
          <w:p w14:paraId="666E5EDE">
            <w:pPr>
              <w:jc w:val="center"/>
              <w:rPr>
                <w:rFonts w:ascii="宋体" w:hAnsi="宋体" w:cs="宋体"/>
                <w:color w:val="000000"/>
                <w:kern w:val="0"/>
                <w:highlight w:val="none"/>
              </w:rPr>
            </w:pPr>
            <w:r>
              <w:rPr>
                <w:rFonts w:hint="eastAsia" w:ascii="宋体" w:hAnsi="宋体" w:cs="宋体"/>
                <w:color w:val="000000"/>
                <w:kern w:val="0"/>
                <w:highlight w:val="none"/>
              </w:rPr>
              <w:t>（元，未税总价）</w:t>
            </w:r>
          </w:p>
        </w:tc>
        <w:tc>
          <w:tcPr>
            <w:tcW w:w="1418" w:type="dxa"/>
            <w:tcBorders>
              <w:top w:val="single" w:color="auto" w:sz="4" w:space="0"/>
              <w:left w:val="single" w:color="auto" w:sz="4" w:space="0"/>
              <w:bottom w:val="single" w:color="auto" w:sz="4" w:space="0"/>
              <w:right w:val="single" w:color="auto" w:sz="4" w:space="0"/>
            </w:tcBorders>
            <w:vAlign w:val="center"/>
          </w:tcPr>
          <w:p w14:paraId="1D78935A">
            <w:pPr>
              <w:jc w:val="center"/>
              <w:rPr>
                <w:rFonts w:ascii="宋体" w:hAnsi="宋体" w:cs="宋体"/>
                <w:color w:val="000000"/>
                <w:kern w:val="0"/>
                <w:highlight w:val="none"/>
              </w:rPr>
            </w:pPr>
            <w:r>
              <w:rPr>
                <w:rFonts w:hint="eastAsia" w:ascii="宋体" w:hAnsi="宋体" w:cs="宋体"/>
                <w:color w:val="000000"/>
                <w:kern w:val="0"/>
                <w:highlight w:val="none"/>
              </w:rPr>
              <w:t>税率</w:t>
            </w:r>
          </w:p>
          <w:p w14:paraId="7B64BF6A">
            <w:pPr>
              <w:jc w:val="center"/>
              <w:rPr>
                <w:rFonts w:ascii="宋体" w:hAnsi="宋体" w:cs="宋体"/>
                <w:color w:val="000000"/>
                <w:kern w:val="0"/>
                <w:highlight w:val="none"/>
              </w:rPr>
            </w:pPr>
            <w:r>
              <w:rPr>
                <w:rFonts w:hint="eastAsia" w:ascii="宋体" w:hAnsi="宋体" w:cs="宋体"/>
                <w:color w:val="000000"/>
                <w:kern w:val="0"/>
                <w:highlight w:val="none"/>
              </w:rPr>
              <w:t>（%）</w:t>
            </w:r>
          </w:p>
        </w:tc>
        <w:tc>
          <w:tcPr>
            <w:tcW w:w="1506" w:type="dxa"/>
            <w:tcBorders>
              <w:top w:val="single" w:color="auto" w:sz="4" w:space="0"/>
              <w:left w:val="nil"/>
              <w:bottom w:val="single" w:color="auto" w:sz="4" w:space="0"/>
              <w:right w:val="single" w:color="auto" w:sz="4" w:space="0"/>
            </w:tcBorders>
          </w:tcPr>
          <w:p w14:paraId="6F104D79">
            <w:pPr>
              <w:jc w:val="center"/>
              <w:rPr>
                <w:rFonts w:ascii="宋体" w:hAnsi="宋体" w:cs="宋体"/>
                <w:color w:val="000000"/>
                <w:kern w:val="0"/>
                <w:highlight w:val="none"/>
              </w:rPr>
            </w:pPr>
            <w:r>
              <w:rPr>
                <w:rFonts w:hint="eastAsia" w:ascii="宋体" w:hAnsi="宋体" w:cs="宋体"/>
                <w:color w:val="000000"/>
                <w:kern w:val="0"/>
                <w:highlight w:val="none"/>
              </w:rPr>
              <w:t>含税总价</w:t>
            </w:r>
          </w:p>
          <w:p w14:paraId="571F4120">
            <w:pPr>
              <w:ind w:firstLine="199" w:firstLineChars="95"/>
              <w:jc w:val="center"/>
              <w:rPr>
                <w:rFonts w:ascii="宋体" w:hAnsi="宋体" w:cs="宋体"/>
                <w:color w:val="000000"/>
                <w:kern w:val="0"/>
                <w:highlight w:val="none"/>
              </w:rPr>
            </w:pPr>
            <w:r>
              <w:rPr>
                <w:rFonts w:hint="eastAsia" w:ascii="宋体" w:hAnsi="宋体" w:cs="宋体"/>
                <w:color w:val="000000"/>
                <w:kern w:val="0"/>
                <w:highlight w:val="none"/>
              </w:rPr>
              <w:t>（元）</w:t>
            </w:r>
          </w:p>
        </w:tc>
      </w:tr>
      <w:tr w14:paraId="054594F6">
        <w:tblPrEx>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noWrap/>
            <w:vAlign w:val="center"/>
          </w:tcPr>
          <w:p w14:paraId="66E1345B">
            <w:pPr>
              <w:ind w:firstLine="360"/>
              <w:jc w:val="center"/>
              <w:rPr>
                <w:rFonts w:ascii="宋体" w:hAnsi="宋体" w:cs="宋体"/>
                <w:color w:val="000000"/>
                <w:kern w:val="0"/>
                <w:sz w:val="18"/>
                <w:szCs w:val="18"/>
                <w:highlight w:val="none"/>
              </w:rPr>
            </w:pPr>
            <w:r>
              <w:rPr>
                <w:rFonts w:hint="eastAsia" w:hAnsi="宋体"/>
                <w:sz w:val="18"/>
                <w:szCs w:val="18"/>
                <w:highlight w:val="none"/>
              </w:rPr>
              <w:t>1</w:t>
            </w:r>
          </w:p>
        </w:tc>
        <w:tc>
          <w:tcPr>
            <w:tcW w:w="1134" w:type="dxa"/>
            <w:tcBorders>
              <w:top w:val="nil"/>
              <w:left w:val="nil"/>
              <w:bottom w:val="single" w:color="auto" w:sz="4" w:space="0"/>
              <w:right w:val="single" w:color="auto" w:sz="4" w:space="0"/>
            </w:tcBorders>
            <w:noWrap/>
            <w:vAlign w:val="center"/>
          </w:tcPr>
          <w:p w14:paraId="159807B4">
            <w:pPr>
              <w:jc w:val="center"/>
              <w:rPr>
                <w:rFonts w:hAnsi="宋体"/>
                <w:sz w:val="18"/>
                <w:szCs w:val="18"/>
                <w:highlight w:val="none"/>
              </w:rPr>
            </w:pPr>
            <w:r>
              <w:rPr>
                <w:rFonts w:hint="eastAsia" w:hAnsi="宋体"/>
                <w:sz w:val="18"/>
                <w:szCs w:val="18"/>
                <w:highlight w:val="none"/>
              </w:rPr>
              <w:t>济宁商用车</w:t>
            </w:r>
            <w:r>
              <w:rPr>
                <w:rFonts w:hAnsi="宋体"/>
                <w:sz w:val="18"/>
                <w:szCs w:val="18"/>
                <w:highlight w:val="none"/>
              </w:rPr>
              <w:t>有限公司</w:t>
            </w:r>
          </w:p>
        </w:tc>
        <w:tc>
          <w:tcPr>
            <w:tcW w:w="1559" w:type="dxa"/>
            <w:tcBorders>
              <w:top w:val="nil"/>
              <w:left w:val="nil"/>
              <w:bottom w:val="single" w:color="auto" w:sz="4" w:space="0"/>
              <w:right w:val="single" w:color="auto" w:sz="4" w:space="0"/>
            </w:tcBorders>
            <w:vAlign w:val="center"/>
          </w:tcPr>
          <w:p w14:paraId="589C5DF8">
            <w:pPr>
              <w:jc w:val="center"/>
              <w:rPr>
                <w:rFonts w:eastAsia="等线"/>
                <w:color w:val="000000"/>
                <w:kern w:val="0"/>
                <w:sz w:val="24"/>
                <w:szCs w:val="24"/>
                <w:highlight w:val="none"/>
              </w:rPr>
            </w:pPr>
            <w:r>
              <w:rPr>
                <w:rFonts w:hint="eastAsia" w:ascii="宋体" w:hAnsi="宋体"/>
                <w:sz w:val="21"/>
                <w:highlight w:val="none"/>
                <w:u w:val="none"/>
                <w:lang w:val="en-US" w:eastAsia="zh-CN"/>
              </w:rPr>
              <w:t>移动源环保监控升级改造</w:t>
            </w:r>
            <w:r>
              <w:rPr>
                <w:rFonts w:hint="eastAsia" w:ascii="宋体" w:hAnsi="宋体"/>
                <w:highlight w:val="none"/>
              </w:rPr>
              <w:t>项目</w:t>
            </w:r>
          </w:p>
        </w:tc>
        <w:tc>
          <w:tcPr>
            <w:tcW w:w="1276" w:type="dxa"/>
            <w:tcBorders>
              <w:top w:val="single" w:color="auto" w:sz="4" w:space="0"/>
              <w:left w:val="single" w:color="auto" w:sz="4" w:space="0"/>
              <w:bottom w:val="single" w:color="auto" w:sz="4" w:space="0"/>
              <w:right w:val="single" w:color="auto" w:sz="4" w:space="0"/>
            </w:tcBorders>
            <w:vAlign w:val="center"/>
          </w:tcPr>
          <w:p w14:paraId="2DF68C0D">
            <w:pPr>
              <w:ind w:firstLine="480"/>
              <w:jc w:val="center"/>
              <w:rPr>
                <w:rFonts w:eastAsia="等线"/>
                <w:color w:val="000000"/>
                <w:kern w:val="0"/>
                <w:sz w:val="24"/>
                <w:szCs w:val="24"/>
                <w:highlight w:val="none"/>
              </w:rPr>
            </w:pPr>
          </w:p>
        </w:tc>
        <w:tc>
          <w:tcPr>
            <w:tcW w:w="1984" w:type="dxa"/>
            <w:tcBorders>
              <w:top w:val="single" w:color="auto" w:sz="4" w:space="0"/>
              <w:left w:val="nil"/>
              <w:bottom w:val="single" w:color="auto" w:sz="4" w:space="0"/>
              <w:right w:val="single" w:color="auto" w:sz="4" w:space="0"/>
            </w:tcBorders>
          </w:tcPr>
          <w:p w14:paraId="15513EDB">
            <w:pPr>
              <w:ind w:firstLine="480"/>
              <w:jc w:val="center"/>
              <w:rPr>
                <w:rFonts w:ascii="等线" w:hAnsi="等线" w:eastAsia="等线" w:cs="宋体"/>
                <w:color w:val="000000"/>
                <w:kern w:val="0"/>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noWrap/>
            <w:vAlign w:val="bottom"/>
          </w:tcPr>
          <w:p w14:paraId="0ED331B0">
            <w:pPr>
              <w:ind w:firstLine="480"/>
              <w:jc w:val="center"/>
              <w:rPr>
                <w:rFonts w:ascii="等线" w:hAnsi="等线" w:eastAsia="等线" w:cs="宋体"/>
                <w:color w:val="000000"/>
                <w:kern w:val="0"/>
                <w:sz w:val="24"/>
                <w:szCs w:val="24"/>
                <w:highlight w:val="none"/>
              </w:rPr>
            </w:pPr>
          </w:p>
        </w:tc>
        <w:tc>
          <w:tcPr>
            <w:tcW w:w="1506" w:type="dxa"/>
            <w:tcBorders>
              <w:top w:val="nil"/>
              <w:left w:val="nil"/>
              <w:bottom w:val="single" w:color="auto" w:sz="4" w:space="0"/>
              <w:right w:val="single" w:color="auto" w:sz="4" w:space="0"/>
            </w:tcBorders>
          </w:tcPr>
          <w:p w14:paraId="1DBDDB1B">
            <w:pPr>
              <w:ind w:firstLine="480"/>
              <w:jc w:val="center"/>
              <w:rPr>
                <w:rFonts w:ascii="等线" w:hAnsi="等线" w:eastAsia="等线" w:cs="宋体"/>
                <w:color w:val="000000"/>
                <w:kern w:val="0"/>
                <w:sz w:val="24"/>
                <w:szCs w:val="24"/>
                <w:highlight w:val="none"/>
              </w:rPr>
            </w:pPr>
          </w:p>
        </w:tc>
      </w:tr>
    </w:tbl>
    <w:p w14:paraId="4967260F">
      <w:pPr>
        <w:spacing w:line="400" w:lineRule="exact"/>
        <w:ind w:firstLine="422"/>
        <w:rPr>
          <w:rFonts w:ascii="宋体" w:hAnsi="宋体"/>
          <w:b/>
          <w:bCs/>
          <w:highlight w:val="none"/>
        </w:rPr>
      </w:pPr>
      <w:r>
        <w:rPr>
          <w:rFonts w:hint="eastAsia" w:ascii="宋体" w:hAnsi="宋体"/>
          <w:b/>
          <w:bCs/>
          <w:highlight w:val="none"/>
        </w:rPr>
        <w:t>注：1、此表中的报价必须与相应的报价明细表中的报价一致。</w:t>
      </w:r>
      <w:r>
        <w:rPr>
          <w:rFonts w:ascii="宋体" w:hAnsi="宋体"/>
          <w:b/>
          <w:bCs/>
          <w:highlight w:val="none"/>
        </w:rPr>
        <w:t xml:space="preserve"> </w:t>
      </w:r>
    </w:p>
    <w:p w14:paraId="0B756B9A">
      <w:pPr>
        <w:spacing w:line="300" w:lineRule="auto"/>
        <w:ind w:firstLine="420"/>
        <w:rPr>
          <w:rFonts w:ascii="宋体" w:hAnsi="宋体"/>
          <w:highlight w:val="none"/>
        </w:rPr>
      </w:pPr>
      <w:r>
        <w:rPr>
          <w:rFonts w:hint="eastAsia" w:ascii="宋体" w:hAnsi="宋体"/>
          <w:highlight w:val="none"/>
        </w:rPr>
        <w:t>投标人：（盖章）</w:t>
      </w:r>
    </w:p>
    <w:p w14:paraId="7005C3BD">
      <w:pPr>
        <w:spacing w:line="660" w:lineRule="exact"/>
        <w:ind w:firstLine="420"/>
        <w:rPr>
          <w:rFonts w:ascii="宋体" w:hAnsi="宋体"/>
          <w:highlight w:val="none"/>
        </w:rPr>
      </w:pPr>
      <w:r>
        <w:rPr>
          <w:rFonts w:hint="eastAsia" w:ascii="宋体" w:hAnsi="宋体"/>
          <w:highlight w:val="none"/>
        </w:rPr>
        <w:t>法定代表人（授权代表）：（签字）</w:t>
      </w:r>
    </w:p>
    <w:tbl>
      <w:tblPr>
        <w:tblStyle w:val="12"/>
        <w:tblpPr w:leftFromText="180" w:rightFromText="180" w:vertAnchor="text" w:horzAnchor="margin" w:tblpXSpec="center" w:tblpY="720"/>
        <w:tblW w:w="5000" w:type="pct"/>
        <w:tblInd w:w="0" w:type="dxa"/>
        <w:tblLayout w:type="fixed"/>
        <w:tblCellMar>
          <w:top w:w="0" w:type="dxa"/>
          <w:left w:w="108" w:type="dxa"/>
          <w:bottom w:w="0" w:type="dxa"/>
          <w:right w:w="108" w:type="dxa"/>
        </w:tblCellMar>
      </w:tblPr>
      <w:tblGrid>
        <w:gridCol w:w="2127"/>
        <w:gridCol w:w="4042"/>
        <w:gridCol w:w="1741"/>
        <w:gridCol w:w="1376"/>
      </w:tblGrid>
      <w:tr w14:paraId="798B08A8">
        <w:tblPrEx>
          <w:tblCellMar>
            <w:top w:w="0" w:type="dxa"/>
            <w:left w:w="108" w:type="dxa"/>
            <w:bottom w:w="0" w:type="dxa"/>
            <w:right w:w="108" w:type="dxa"/>
          </w:tblCellMar>
        </w:tblPrEx>
        <w:trPr>
          <w:trHeight w:val="227" w:hRule="atLeast"/>
        </w:trPr>
        <w:tc>
          <w:tcPr>
            <w:tcW w:w="4259" w:type="pct"/>
            <w:gridSpan w:val="3"/>
            <w:tcBorders>
              <w:top w:val="nil"/>
              <w:left w:val="nil"/>
              <w:bottom w:val="nil"/>
              <w:right w:val="nil"/>
            </w:tcBorders>
            <w:noWrap/>
            <w:vAlign w:val="center"/>
          </w:tcPr>
          <w:p w14:paraId="23F57C3B">
            <w:pPr>
              <w:jc w:val="left"/>
              <w:rPr>
                <w:rFonts w:ascii="宋体" w:hAnsi="宋体" w:cs="宋体"/>
                <w:color w:val="000000"/>
                <w:kern w:val="0"/>
                <w:sz w:val="22"/>
                <w:szCs w:val="22"/>
                <w:highlight w:val="none"/>
              </w:rPr>
            </w:pPr>
          </w:p>
        </w:tc>
        <w:tc>
          <w:tcPr>
            <w:tcW w:w="740" w:type="pct"/>
            <w:tcBorders>
              <w:top w:val="nil"/>
              <w:left w:val="nil"/>
              <w:bottom w:val="nil"/>
              <w:right w:val="nil"/>
            </w:tcBorders>
            <w:noWrap/>
            <w:vAlign w:val="center"/>
          </w:tcPr>
          <w:p w14:paraId="2CAA5CC3">
            <w:pPr>
              <w:jc w:val="left"/>
              <w:rPr>
                <w:rFonts w:ascii="宋体" w:hAnsi="宋体" w:cs="宋体"/>
                <w:color w:val="000000"/>
                <w:kern w:val="0"/>
                <w:sz w:val="22"/>
                <w:szCs w:val="22"/>
                <w:highlight w:val="none"/>
              </w:rPr>
            </w:pPr>
          </w:p>
        </w:tc>
      </w:tr>
      <w:tr w14:paraId="5DA63AF5">
        <w:tblPrEx>
          <w:tblCellMar>
            <w:top w:w="0" w:type="dxa"/>
            <w:left w:w="108" w:type="dxa"/>
            <w:bottom w:w="0" w:type="dxa"/>
            <w:right w:w="108" w:type="dxa"/>
          </w:tblCellMar>
        </w:tblPrEx>
        <w:trPr>
          <w:trHeight w:val="249" w:hRule="atLeast"/>
        </w:trPr>
        <w:tc>
          <w:tcPr>
            <w:tcW w:w="4259" w:type="pct"/>
            <w:gridSpan w:val="3"/>
            <w:tcBorders>
              <w:top w:val="nil"/>
              <w:left w:val="nil"/>
              <w:bottom w:val="nil"/>
              <w:right w:val="nil"/>
            </w:tcBorders>
            <w:noWrap/>
            <w:vAlign w:val="center"/>
          </w:tcPr>
          <w:p w14:paraId="4A40E321">
            <w:pPr>
              <w:spacing w:line="660" w:lineRule="exact"/>
              <w:ind w:firstLine="562"/>
              <w:rPr>
                <w:rFonts w:ascii="宋体" w:hAnsi="宋体" w:cs="宋体"/>
                <w:color w:val="000000"/>
                <w:kern w:val="0"/>
                <w:sz w:val="22"/>
                <w:szCs w:val="22"/>
                <w:highlight w:val="none"/>
              </w:rPr>
            </w:pPr>
            <w:r>
              <w:rPr>
                <w:rFonts w:hint="eastAsia" w:eastAsia="黑体"/>
                <w:b/>
                <w:bCs/>
                <w:sz w:val="28"/>
                <w:highlight w:val="none"/>
              </w:rPr>
              <w:t>报价清单</w:t>
            </w:r>
          </w:p>
        </w:tc>
        <w:tc>
          <w:tcPr>
            <w:tcW w:w="740" w:type="pct"/>
            <w:tcBorders>
              <w:top w:val="nil"/>
              <w:left w:val="nil"/>
              <w:bottom w:val="nil"/>
              <w:right w:val="nil"/>
            </w:tcBorders>
            <w:noWrap/>
            <w:vAlign w:val="center"/>
          </w:tcPr>
          <w:p w14:paraId="685B037D">
            <w:pPr>
              <w:spacing w:line="660" w:lineRule="exact"/>
              <w:ind w:firstLine="562"/>
              <w:rPr>
                <w:rFonts w:hint="eastAsia" w:eastAsia="黑体"/>
                <w:b/>
                <w:bCs/>
                <w:sz w:val="28"/>
                <w:highlight w:val="none"/>
              </w:rPr>
            </w:pPr>
          </w:p>
        </w:tc>
      </w:tr>
      <w:tr w14:paraId="1C2D1045">
        <w:tblPrEx>
          <w:tblCellMar>
            <w:top w:w="0" w:type="dxa"/>
            <w:left w:w="108" w:type="dxa"/>
            <w:bottom w:w="0" w:type="dxa"/>
            <w:right w:w="108" w:type="dxa"/>
          </w:tblCellMar>
        </w:tblPrEx>
        <w:trPr>
          <w:trHeight w:val="1406" w:hRule="atLeast"/>
        </w:trPr>
        <w:tc>
          <w:tcPr>
            <w:tcW w:w="1145" w:type="pct"/>
            <w:tcBorders>
              <w:top w:val="single" w:color="auto" w:sz="4" w:space="0"/>
              <w:left w:val="single" w:color="auto" w:sz="4" w:space="0"/>
              <w:bottom w:val="single" w:color="auto" w:sz="4" w:space="0"/>
              <w:right w:val="single" w:color="auto" w:sz="4" w:space="0"/>
            </w:tcBorders>
            <w:noWrap/>
            <w:vAlign w:val="center"/>
          </w:tcPr>
          <w:p w14:paraId="77BF8E7F">
            <w:pPr>
              <w:ind w:firstLine="442"/>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项目</w:t>
            </w:r>
          </w:p>
        </w:tc>
        <w:tc>
          <w:tcPr>
            <w:tcW w:w="2176" w:type="pct"/>
            <w:tcBorders>
              <w:top w:val="single" w:color="auto" w:sz="4" w:space="0"/>
              <w:left w:val="nil"/>
              <w:bottom w:val="single" w:color="auto" w:sz="4" w:space="0"/>
              <w:right w:val="single" w:color="auto" w:sz="4" w:space="0"/>
            </w:tcBorders>
            <w:noWrap/>
            <w:vAlign w:val="center"/>
          </w:tcPr>
          <w:p w14:paraId="63BE359A">
            <w:pPr>
              <w:ind w:firstLine="442"/>
              <w:jc w:val="center"/>
              <w:rPr>
                <w:rFonts w:hint="default" w:ascii="宋体" w:hAnsi="宋体" w:eastAsia="宋体" w:cs="宋体"/>
                <w:b/>
                <w:bCs/>
                <w:color w:val="000000"/>
                <w:kern w:val="0"/>
                <w:sz w:val="22"/>
                <w:szCs w:val="22"/>
                <w:highlight w:val="none"/>
                <w:lang w:val="en-US" w:eastAsia="zh-CN"/>
              </w:rPr>
            </w:pPr>
            <w:r>
              <w:rPr>
                <w:rFonts w:hint="eastAsia" w:ascii="宋体" w:hAnsi="宋体" w:cs="宋体"/>
                <w:b/>
                <w:bCs/>
                <w:color w:val="000000"/>
                <w:kern w:val="0"/>
                <w:sz w:val="22"/>
                <w:szCs w:val="22"/>
                <w:highlight w:val="none"/>
                <w:lang w:val="en-US" w:eastAsia="zh-CN"/>
              </w:rPr>
              <w:t>所需设备</w:t>
            </w:r>
          </w:p>
        </w:tc>
        <w:tc>
          <w:tcPr>
            <w:tcW w:w="937" w:type="pct"/>
            <w:tcBorders>
              <w:top w:val="single" w:color="auto" w:sz="4" w:space="0"/>
              <w:left w:val="nil"/>
              <w:bottom w:val="single" w:color="auto" w:sz="4" w:space="0"/>
              <w:right w:val="single" w:color="auto" w:sz="4" w:space="0"/>
            </w:tcBorders>
            <w:noWrap/>
            <w:vAlign w:val="center"/>
          </w:tcPr>
          <w:p w14:paraId="4172AC5B">
            <w:pPr>
              <w:ind w:firstLine="442"/>
              <w:jc w:val="center"/>
              <w:rPr>
                <w:rFonts w:hint="default" w:ascii="宋体" w:hAnsi="宋体" w:eastAsia="宋体" w:cs="宋体"/>
                <w:b/>
                <w:bCs/>
                <w:color w:val="000000"/>
                <w:kern w:val="0"/>
                <w:sz w:val="22"/>
                <w:szCs w:val="22"/>
                <w:highlight w:val="none"/>
                <w:lang w:val="en-US" w:eastAsia="zh-CN"/>
              </w:rPr>
            </w:pPr>
            <w:r>
              <w:rPr>
                <w:rFonts w:hint="eastAsia" w:ascii="宋体" w:hAnsi="宋体" w:cs="宋体"/>
                <w:b/>
                <w:bCs/>
                <w:color w:val="000000"/>
                <w:kern w:val="0"/>
                <w:sz w:val="22"/>
                <w:szCs w:val="22"/>
                <w:highlight w:val="none"/>
                <w:lang w:val="en-US" w:eastAsia="zh-CN"/>
              </w:rPr>
              <w:t>单价（未税，元）</w:t>
            </w:r>
          </w:p>
        </w:tc>
        <w:tc>
          <w:tcPr>
            <w:tcW w:w="740" w:type="pct"/>
            <w:tcBorders>
              <w:top w:val="single" w:color="auto" w:sz="4" w:space="0"/>
              <w:left w:val="nil"/>
              <w:bottom w:val="single" w:color="auto" w:sz="4" w:space="0"/>
              <w:right w:val="single" w:color="auto" w:sz="4" w:space="0"/>
            </w:tcBorders>
            <w:noWrap/>
            <w:vAlign w:val="center"/>
          </w:tcPr>
          <w:p w14:paraId="2B84CFBE">
            <w:pPr>
              <w:ind w:firstLine="442"/>
              <w:jc w:val="center"/>
              <w:rPr>
                <w:rFonts w:hint="default" w:ascii="宋体" w:hAnsi="宋体" w:cs="宋体"/>
                <w:b/>
                <w:bCs/>
                <w:color w:val="000000"/>
                <w:kern w:val="0"/>
                <w:sz w:val="22"/>
                <w:szCs w:val="22"/>
                <w:highlight w:val="none"/>
                <w:lang w:val="en-US" w:eastAsia="zh-CN"/>
              </w:rPr>
            </w:pPr>
            <w:r>
              <w:rPr>
                <w:rFonts w:hint="eastAsia" w:ascii="宋体" w:hAnsi="宋体" w:cs="宋体"/>
                <w:b/>
                <w:bCs/>
                <w:color w:val="000000"/>
                <w:kern w:val="0"/>
                <w:sz w:val="22"/>
                <w:szCs w:val="22"/>
                <w:highlight w:val="none"/>
                <w:lang w:val="en-US" w:eastAsia="zh-CN"/>
              </w:rPr>
              <w:t>总价（未税，元）</w:t>
            </w:r>
          </w:p>
        </w:tc>
      </w:tr>
      <w:tr w14:paraId="3D6F32EF">
        <w:tblPrEx>
          <w:tblCellMar>
            <w:top w:w="0" w:type="dxa"/>
            <w:left w:w="108" w:type="dxa"/>
            <w:bottom w:w="0" w:type="dxa"/>
            <w:right w:w="108" w:type="dxa"/>
          </w:tblCellMar>
        </w:tblPrEx>
        <w:trPr>
          <w:trHeight w:val="1020" w:hRule="atLeast"/>
        </w:trPr>
        <w:tc>
          <w:tcPr>
            <w:tcW w:w="1145" w:type="pct"/>
            <w:vMerge w:val="restart"/>
            <w:tcBorders>
              <w:top w:val="nil"/>
              <w:left w:val="single" w:color="auto" w:sz="4" w:space="0"/>
              <w:right w:val="single" w:color="auto" w:sz="4" w:space="0"/>
            </w:tcBorders>
            <w:noWrap/>
            <w:vAlign w:val="center"/>
          </w:tcPr>
          <w:p w14:paraId="3BA0BBDB">
            <w:pPr>
              <w:jc w:val="center"/>
              <w:rPr>
                <w:rFonts w:hint="default" w:ascii="宋体" w:hAnsi="宋体" w:eastAsia="宋体" w:cs="宋体"/>
                <w:color w:val="000000"/>
                <w:kern w:val="0"/>
                <w:sz w:val="22"/>
                <w:szCs w:val="22"/>
                <w:highlight w:val="none"/>
                <w:lang w:val="en-US" w:eastAsia="zh-CN"/>
              </w:rPr>
            </w:pPr>
            <w:r>
              <w:rPr>
                <w:rFonts w:hint="eastAsia" w:ascii="宋体" w:hAnsi="宋体"/>
                <w:sz w:val="21"/>
                <w:highlight w:val="none"/>
                <w:u w:val="none"/>
                <w:lang w:val="en-US" w:eastAsia="zh-CN"/>
              </w:rPr>
              <w:t>移动源环保监控升级改造</w:t>
            </w:r>
            <w:r>
              <w:rPr>
                <w:rFonts w:hint="eastAsia" w:ascii="宋体" w:hAnsi="宋体"/>
                <w:highlight w:val="none"/>
              </w:rPr>
              <w:t>项目</w:t>
            </w:r>
          </w:p>
        </w:tc>
        <w:tc>
          <w:tcPr>
            <w:tcW w:w="2176" w:type="pct"/>
            <w:tcBorders>
              <w:top w:val="nil"/>
              <w:left w:val="nil"/>
              <w:bottom w:val="single" w:color="auto" w:sz="4" w:space="0"/>
              <w:right w:val="single" w:color="auto" w:sz="4" w:space="0"/>
            </w:tcBorders>
            <w:shd w:val="clear" w:color="auto" w:fill="auto"/>
            <w:noWrap/>
            <w:vAlign w:val="center"/>
          </w:tcPr>
          <w:p w14:paraId="01A65A4C">
            <w:pPr>
              <w:ind w:firstLine="480" w:firstLineChars="0"/>
              <w:jc w:val="center"/>
              <w:rPr>
                <w:rFonts w:ascii="Times New Roman" w:hAnsi="Times New Roman" w:eastAsia="等线" w:cs="Times New Roman"/>
                <w:color w:val="00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出入口控制终端</w:t>
            </w:r>
          </w:p>
        </w:tc>
        <w:tc>
          <w:tcPr>
            <w:tcW w:w="937" w:type="pct"/>
            <w:tcBorders>
              <w:top w:val="single" w:color="auto" w:sz="4" w:space="0"/>
              <w:left w:val="single" w:color="auto" w:sz="4" w:space="0"/>
              <w:bottom w:val="single" w:color="auto" w:sz="4" w:space="0"/>
              <w:right w:val="single" w:color="auto" w:sz="4" w:space="0"/>
            </w:tcBorders>
            <w:noWrap/>
            <w:vAlign w:val="center"/>
          </w:tcPr>
          <w:p w14:paraId="21A464AD">
            <w:pPr>
              <w:ind w:firstLine="440"/>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3B9BC926">
            <w:pPr>
              <w:ind w:firstLine="440"/>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26E84C2F">
            <w:pPr>
              <w:ind w:firstLine="440"/>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50F7E42E">
            <w:pPr>
              <w:ind w:firstLine="44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0A3F04A6">
            <w:pPr>
              <w:ind w:firstLine="44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16B0497F">
            <w:pPr>
              <w:ind w:firstLine="44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p w14:paraId="6FC75C61">
            <w:pPr>
              <w:ind w:firstLine="44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　</w:t>
            </w:r>
          </w:p>
        </w:tc>
        <w:tc>
          <w:tcPr>
            <w:tcW w:w="740" w:type="pct"/>
            <w:vMerge w:val="restart"/>
            <w:tcBorders>
              <w:top w:val="nil"/>
              <w:left w:val="nil"/>
              <w:right w:val="single" w:color="auto" w:sz="4" w:space="0"/>
            </w:tcBorders>
            <w:noWrap/>
            <w:vAlign w:val="center"/>
          </w:tcPr>
          <w:p w14:paraId="61778F9B">
            <w:pPr>
              <w:ind w:firstLine="440"/>
              <w:jc w:val="center"/>
              <w:rPr>
                <w:rFonts w:hint="eastAsia" w:ascii="宋体" w:hAnsi="宋体" w:cs="宋体"/>
                <w:color w:val="000000"/>
                <w:kern w:val="0"/>
                <w:sz w:val="22"/>
                <w:szCs w:val="22"/>
                <w:highlight w:val="none"/>
              </w:rPr>
            </w:pPr>
          </w:p>
        </w:tc>
      </w:tr>
      <w:tr w14:paraId="1E3B0678">
        <w:tblPrEx>
          <w:tblCellMar>
            <w:top w:w="0" w:type="dxa"/>
            <w:left w:w="108" w:type="dxa"/>
            <w:bottom w:w="0" w:type="dxa"/>
            <w:right w:w="108" w:type="dxa"/>
          </w:tblCellMar>
        </w:tblPrEx>
        <w:trPr>
          <w:trHeight w:val="0" w:hRule="atLeast"/>
        </w:trPr>
        <w:tc>
          <w:tcPr>
            <w:tcW w:w="1145" w:type="pct"/>
            <w:vMerge w:val="continue"/>
            <w:tcBorders>
              <w:left w:val="single" w:color="auto" w:sz="4" w:space="0"/>
              <w:right w:val="single" w:color="auto" w:sz="4" w:space="0"/>
            </w:tcBorders>
            <w:vAlign w:val="center"/>
          </w:tcPr>
          <w:p w14:paraId="507E04A4">
            <w:pPr>
              <w:ind w:firstLine="440"/>
              <w:jc w:val="left"/>
              <w:rPr>
                <w:rFonts w:ascii="宋体" w:hAnsi="宋体" w:cs="宋体"/>
                <w:color w:val="000000"/>
                <w:kern w:val="0"/>
                <w:sz w:val="22"/>
                <w:szCs w:val="22"/>
                <w:highlight w:val="none"/>
              </w:rPr>
            </w:pPr>
          </w:p>
        </w:tc>
        <w:tc>
          <w:tcPr>
            <w:tcW w:w="2176" w:type="pct"/>
            <w:tcBorders>
              <w:top w:val="nil"/>
              <w:left w:val="nil"/>
              <w:bottom w:val="single" w:color="auto" w:sz="4" w:space="0"/>
              <w:right w:val="single" w:color="auto" w:sz="4" w:space="0"/>
            </w:tcBorders>
            <w:noWrap/>
            <w:vAlign w:val="center"/>
          </w:tcPr>
          <w:p w14:paraId="31A4DCA1">
            <w:pPr>
              <w:ind w:firstLine="440"/>
              <w:jc w:val="center"/>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UPS不间断电源</w:t>
            </w:r>
          </w:p>
        </w:tc>
        <w:tc>
          <w:tcPr>
            <w:tcW w:w="937" w:type="pct"/>
            <w:tcBorders>
              <w:top w:val="single" w:color="auto" w:sz="4" w:space="0"/>
              <w:left w:val="single" w:color="auto" w:sz="4" w:space="0"/>
              <w:bottom w:val="single" w:color="auto" w:sz="4" w:space="0"/>
              <w:right w:val="single" w:color="auto" w:sz="4" w:space="0"/>
            </w:tcBorders>
            <w:noWrap/>
            <w:vAlign w:val="center"/>
          </w:tcPr>
          <w:p w14:paraId="16F9339A">
            <w:pPr>
              <w:ind w:firstLine="440"/>
              <w:jc w:val="left"/>
              <w:rPr>
                <w:rFonts w:ascii="宋体" w:hAnsi="宋体" w:cs="宋体"/>
                <w:color w:val="000000"/>
                <w:kern w:val="0"/>
                <w:sz w:val="22"/>
                <w:szCs w:val="22"/>
                <w:highlight w:val="none"/>
              </w:rPr>
            </w:pPr>
          </w:p>
        </w:tc>
        <w:tc>
          <w:tcPr>
            <w:tcW w:w="740" w:type="pct"/>
            <w:vMerge w:val="continue"/>
            <w:tcBorders>
              <w:left w:val="nil"/>
              <w:right w:val="single" w:color="auto" w:sz="4" w:space="0"/>
            </w:tcBorders>
            <w:noWrap/>
            <w:vAlign w:val="center"/>
          </w:tcPr>
          <w:p w14:paraId="6FC3017C">
            <w:pPr>
              <w:ind w:firstLine="440"/>
              <w:jc w:val="left"/>
              <w:rPr>
                <w:rFonts w:hint="eastAsia" w:ascii="宋体" w:hAnsi="宋体" w:cs="宋体"/>
                <w:color w:val="000000"/>
                <w:kern w:val="0"/>
                <w:sz w:val="22"/>
                <w:szCs w:val="22"/>
                <w:highlight w:val="none"/>
              </w:rPr>
            </w:pPr>
          </w:p>
        </w:tc>
      </w:tr>
      <w:tr w14:paraId="3D7B4FCA">
        <w:tblPrEx>
          <w:tblCellMar>
            <w:top w:w="0" w:type="dxa"/>
            <w:left w:w="108" w:type="dxa"/>
            <w:bottom w:w="0" w:type="dxa"/>
            <w:right w:w="108" w:type="dxa"/>
          </w:tblCellMar>
        </w:tblPrEx>
        <w:trPr>
          <w:trHeight w:val="227" w:hRule="atLeast"/>
        </w:trPr>
        <w:tc>
          <w:tcPr>
            <w:tcW w:w="1145" w:type="pct"/>
            <w:vMerge w:val="continue"/>
            <w:tcBorders>
              <w:left w:val="single" w:color="auto" w:sz="4" w:space="0"/>
              <w:bottom w:val="single" w:color="auto" w:sz="4" w:space="0"/>
              <w:right w:val="single" w:color="auto" w:sz="4" w:space="0"/>
            </w:tcBorders>
            <w:vAlign w:val="center"/>
          </w:tcPr>
          <w:p w14:paraId="19DEDE0E">
            <w:pPr>
              <w:ind w:firstLine="440"/>
              <w:jc w:val="center"/>
              <w:rPr>
                <w:rFonts w:ascii="宋体" w:hAnsi="宋体" w:cs="宋体"/>
                <w:color w:val="000000"/>
                <w:kern w:val="0"/>
                <w:sz w:val="22"/>
                <w:szCs w:val="22"/>
                <w:highlight w:val="none"/>
              </w:rPr>
            </w:pPr>
          </w:p>
        </w:tc>
        <w:tc>
          <w:tcPr>
            <w:tcW w:w="2176" w:type="pct"/>
            <w:tcBorders>
              <w:top w:val="nil"/>
              <w:left w:val="nil"/>
              <w:bottom w:val="single" w:color="auto" w:sz="4" w:space="0"/>
              <w:right w:val="single" w:color="auto" w:sz="4" w:space="0"/>
            </w:tcBorders>
            <w:noWrap/>
            <w:vAlign w:val="center"/>
          </w:tcPr>
          <w:p w14:paraId="0D305775">
            <w:pPr>
              <w:ind w:firstLine="440"/>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w:t>
            </w:r>
          </w:p>
        </w:tc>
        <w:tc>
          <w:tcPr>
            <w:tcW w:w="937" w:type="pct"/>
            <w:tcBorders>
              <w:top w:val="single" w:color="auto" w:sz="4" w:space="0"/>
              <w:left w:val="nil"/>
              <w:bottom w:val="single" w:color="auto" w:sz="4" w:space="0"/>
              <w:right w:val="single" w:color="auto" w:sz="4" w:space="0"/>
            </w:tcBorders>
            <w:noWrap/>
            <w:vAlign w:val="center"/>
          </w:tcPr>
          <w:p w14:paraId="0A8D2DC2">
            <w:pPr>
              <w:ind w:firstLine="440"/>
              <w:jc w:val="left"/>
              <w:rPr>
                <w:rFonts w:ascii="宋体" w:hAnsi="宋体" w:cs="宋体"/>
                <w:color w:val="000000"/>
                <w:kern w:val="0"/>
                <w:sz w:val="22"/>
                <w:szCs w:val="22"/>
                <w:highlight w:val="none"/>
              </w:rPr>
            </w:pPr>
          </w:p>
        </w:tc>
        <w:tc>
          <w:tcPr>
            <w:tcW w:w="740" w:type="pct"/>
            <w:vMerge w:val="continue"/>
            <w:tcBorders>
              <w:left w:val="nil"/>
              <w:bottom w:val="single" w:color="auto" w:sz="4" w:space="0"/>
              <w:right w:val="single" w:color="auto" w:sz="4" w:space="0"/>
            </w:tcBorders>
            <w:noWrap/>
            <w:vAlign w:val="center"/>
          </w:tcPr>
          <w:p w14:paraId="6B532533">
            <w:pPr>
              <w:ind w:firstLine="440"/>
              <w:jc w:val="left"/>
              <w:rPr>
                <w:rFonts w:ascii="宋体" w:hAnsi="宋体" w:cs="宋体"/>
                <w:color w:val="000000"/>
                <w:kern w:val="0"/>
                <w:sz w:val="22"/>
                <w:szCs w:val="22"/>
                <w:highlight w:val="none"/>
              </w:rPr>
            </w:pPr>
          </w:p>
        </w:tc>
      </w:tr>
      <w:tr w14:paraId="5E91AB9F">
        <w:tblPrEx>
          <w:tblCellMar>
            <w:top w:w="0" w:type="dxa"/>
            <w:left w:w="108" w:type="dxa"/>
            <w:bottom w:w="0" w:type="dxa"/>
            <w:right w:w="108" w:type="dxa"/>
          </w:tblCellMar>
        </w:tblPrEx>
        <w:trPr>
          <w:trHeight w:val="227" w:hRule="atLeast"/>
        </w:trPr>
        <w:tc>
          <w:tcPr>
            <w:tcW w:w="5000" w:type="pct"/>
            <w:gridSpan w:val="4"/>
            <w:tcBorders>
              <w:top w:val="single" w:color="auto" w:sz="4" w:space="0"/>
              <w:left w:val="nil"/>
              <w:bottom w:val="nil"/>
              <w:right w:val="nil"/>
            </w:tcBorders>
            <w:noWrap/>
            <w:vAlign w:val="center"/>
          </w:tcPr>
          <w:p w14:paraId="19DA9903">
            <w:pPr>
              <w:ind w:firstLine="440"/>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注：该表可根据实际情况做适当调整或增加附件说明，该表</w:t>
            </w:r>
            <w:r>
              <w:rPr>
                <w:rFonts w:hint="eastAsia" w:ascii="宋体" w:hAnsi="宋体" w:cs="宋体"/>
                <w:color w:val="000000"/>
                <w:kern w:val="0"/>
                <w:sz w:val="22"/>
                <w:szCs w:val="22"/>
                <w:highlight w:val="none"/>
                <w:lang w:val="en-US" w:eastAsia="zh-CN"/>
              </w:rPr>
              <w:t>单价</w:t>
            </w:r>
            <w:r>
              <w:rPr>
                <w:rFonts w:hint="eastAsia" w:ascii="宋体" w:hAnsi="宋体" w:cs="宋体"/>
                <w:color w:val="000000"/>
                <w:kern w:val="0"/>
                <w:sz w:val="22"/>
                <w:szCs w:val="22"/>
                <w:highlight w:val="none"/>
              </w:rPr>
              <w:t>必须与投标总报价中的未税单价报价一致。</w:t>
            </w:r>
          </w:p>
        </w:tc>
      </w:tr>
    </w:tbl>
    <w:p w14:paraId="3092404E">
      <w:pPr>
        <w:spacing w:line="660" w:lineRule="exact"/>
        <w:ind w:firstLine="420"/>
        <w:rPr>
          <w:rFonts w:ascii="宋体" w:hAnsi="宋体"/>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701" w:right="1418" w:bottom="1134" w:left="1418" w:header="851" w:footer="992" w:gutter="0"/>
          <w:cols w:space="720" w:num="1"/>
          <w:titlePg/>
          <w:docGrid w:type="lines" w:linePitch="312" w:charSpace="0"/>
        </w:sectPr>
      </w:pPr>
      <w:r>
        <w:rPr>
          <w:rFonts w:hint="eastAsia" w:ascii="宋体" w:hAnsi="宋体"/>
          <w:highlight w:val="none"/>
        </w:rPr>
        <w:t>日  期：</w:t>
      </w:r>
      <w:r>
        <w:rPr>
          <w:rFonts w:hint="eastAsia" w:ascii="宋体" w:hAnsi="宋体"/>
          <w:highlight w:val="none"/>
          <w:u w:val="single"/>
        </w:rPr>
        <w:t xml:space="preserve">       </w:t>
      </w:r>
      <w:r>
        <w:rPr>
          <w:rFonts w:hint="eastAsia" w:ascii="宋体" w:hAnsi="宋体"/>
          <w:highlight w:val="none"/>
        </w:rPr>
        <w:t xml:space="preserve">年  </w:t>
      </w:r>
      <w:r>
        <w:rPr>
          <w:rFonts w:hint="eastAsia" w:ascii="宋体" w:hAnsi="宋体"/>
          <w:highlight w:val="none"/>
          <w:u w:val="single"/>
        </w:rPr>
        <w:t xml:space="preserve">    </w:t>
      </w:r>
      <w:r>
        <w:rPr>
          <w:rFonts w:hint="eastAsia" w:ascii="宋体" w:hAnsi="宋体"/>
          <w:highlight w:val="none"/>
        </w:rPr>
        <w:t>月</w:t>
      </w:r>
      <w:r>
        <w:rPr>
          <w:rFonts w:hint="eastAsia" w:ascii="宋体" w:hAnsi="宋体"/>
          <w:highlight w:val="none"/>
          <w:u w:val="single"/>
        </w:rPr>
        <w:t xml:space="preserve">  </w:t>
      </w:r>
    </w:p>
    <w:p w14:paraId="5BC675DD">
      <w:pPr>
        <w:ind w:firstLine="562"/>
        <w:rPr>
          <w:rFonts w:eastAsia="黑体"/>
          <w:b/>
          <w:bCs/>
          <w:sz w:val="28"/>
          <w:highlight w:val="none"/>
        </w:rPr>
      </w:pPr>
      <w:r>
        <w:rPr>
          <w:rFonts w:hint="eastAsia" w:eastAsia="黑体"/>
          <w:b/>
          <w:bCs/>
          <w:sz w:val="28"/>
          <w:highlight w:val="none"/>
        </w:rPr>
        <w:t>附件</w:t>
      </w:r>
      <w:r>
        <w:rPr>
          <w:rFonts w:hint="eastAsia" w:eastAsia="黑体"/>
          <w:b/>
          <w:bCs/>
          <w:sz w:val="28"/>
          <w:highlight w:val="none"/>
          <w:lang w:val="en-US" w:eastAsia="zh-CN"/>
        </w:rPr>
        <w:t>5</w:t>
      </w:r>
      <w:r>
        <w:rPr>
          <w:rFonts w:hint="eastAsia" w:eastAsia="黑体"/>
          <w:b/>
          <w:bCs/>
          <w:sz w:val="28"/>
          <w:highlight w:val="none"/>
        </w:rPr>
        <w:t>：</w:t>
      </w:r>
    </w:p>
    <w:p w14:paraId="1D1900A0">
      <w:pPr>
        <w:jc w:val="center"/>
        <w:rPr>
          <w:rFonts w:eastAsia="黑体"/>
          <w:b/>
          <w:bCs/>
          <w:sz w:val="36"/>
          <w:highlight w:val="none"/>
        </w:rPr>
      </w:pPr>
      <w:r>
        <w:rPr>
          <w:rFonts w:hint="eastAsia" w:eastAsia="黑体"/>
          <w:b/>
          <w:bCs/>
          <w:sz w:val="36"/>
          <w:highlight w:val="none"/>
        </w:rPr>
        <w:t>在线资质文件预审目录</w:t>
      </w:r>
    </w:p>
    <w:p w14:paraId="7D8A0B3B">
      <w:pPr>
        <w:jc w:val="left"/>
        <w:rPr>
          <w:rFonts w:eastAsia="黑体"/>
          <w:b/>
          <w:bCs/>
          <w:sz w:val="24"/>
          <w:highlight w:val="none"/>
        </w:rPr>
      </w:pPr>
      <w:r>
        <w:rPr>
          <w:rFonts w:hint="eastAsia" w:eastAsia="黑体"/>
          <w:b/>
          <w:bCs/>
          <w:sz w:val="24"/>
          <w:highlight w:val="none"/>
        </w:rPr>
        <w:t>投标人名称（盖章）：</w:t>
      </w:r>
    </w:p>
    <w:tbl>
      <w:tblPr>
        <w:tblStyle w:val="1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6378"/>
        <w:gridCol w:w="1843"/>
      </w:tblGrid>
      <w:tr w14:paraId="7545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14:paraId="23755F4F">
            <w:pPr>
              <w:jc w:val="center"/>
              <w:rPr>
                <w:rFonts w:eastAsia="黑体"/>
                <w:b/>
                <w:bCs/>
                <w:sz w:val="28"/>
                <w:highlight w:val="none"/>
              </w:rPr>
            </w:pPr>
            <w:r>
              <w:rPr>
                <w:rFonts w:hint="eastAsia" w:eastAsia="黑体"/>
                <w:b/>
                <w:bCs/>
                <w:sz w:val="28"/>
                <w:highlight w:val="none"/>
              </w:rPr>
              <w:t>序号</w:t>
            </w:r>
          </w:p>
        </w:tc>
        <w:tc>
          <w:tcPr>
            <w:tcW w:w="6378" w:type="dxa"/>
            <w:shd w:val="clear" w:color="auto" w:fill="auto"/>
          </w:tcPr>
          <w:p w14:paraId="73897948">
            <w:pPr>
              <w:jc w:val="center"/>
              <w:rPr>
                <w:rFonts w:eastAsia="黑体"/>
                <w:b/>
                <w:bCs/>
                <w:sz w:val="28"/>
                <w:highlight w:val="none"/>
              </w:rPr>
            </w:pPr>
            <w:r>
              <w:rPr>
                <w:rFonts w:hint="eastAsia" w:eastAsia="黑体"/>
                <w:b/>
                <w:bCs/>
                <w:sz w:val="28"/>
                <w:highlight w:val="none"/>
              </w:rPr>
              <w:t>文件名称</w:t>
            </w:r>
          </w:p>
        </w:tc>
        <w:tc>
          <w:tcPr>
            <w:tcW w:w="1843" w:type="dxa"/>
            <w:shd w:val="clear" w:color="auto" w:fill="auto"/>
          </w:tcPr>
          <w:p w14:paraId="44B1C678">
            <w:pPr>
              <w:jc w:val="center"/>
              <w:rPr>
                <w:rFonts w:eastAsia="黑体"/>
                <w:b/>
                <w:bCs/>
                <w:sz w:val="28"/>
                <w:highlight w:val="none"/>
              </w:rPr>
            </w:pPr>
            <w:r>
              <w:rPr>
                <w:rFonts w:hint="eastAsia" w:eastAsia="黑体"/>
                <w:b/>
                <w:bCs/>
                <w:sz w:val="28"/>
                <w:highlight w:val="none"/>
              </w:rPr>
              <w:t>备注</w:t>
            </w:r>
          </w:p>
        </w:tc>
      </w:tr>
      <w:tr w14:paraId="747B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1A775D86">
            <w:pPr>
              <w:jc w:val="center"/>
              <w:rPr>
                <w:rFonts w:ascii="黑体" w:hAnsi="黑体" w:eastAsia="黑体"/>
                <w:bCs/>
                <w:szCs w:val="21"/>
                <w:highlight w:val="none"/>
              </w:rPr>
            </w:pPr>
            <w:r>
              <w:rPr>
                <w:rFonts w:hint="eastAsia" w:ascii="黑体" w:hAnsi="黑体" w:eastAsia="黑体"/>
                <w:bCs/>
                <w:szCs w:val="21"/>
                <w:highlight w:val="none"/>
              </w:rPr>
              <w:t>1</w:t>
            </w:r>
          </w:p>
        </w:tc>
        <w:tc>
          <w:tcPr>
            <w:tcW w:w="6378" w:type="dxa"/>
            <w:shd w:val="clear" w:color="auto" w:fill="auto"/>
            <w:vAlign w:val="center"/>
          </w:tcPr>
          <w:p w14:paraId="71751C0B">
            <w:pPr>
              <w:jc w:val="left"/>
              <w:rPr>
                <w:rFonts w:ascii="黑体" w:hAnsi="黑体" w:eastAsia="黑体"/>
                <w:bCs/>
                <w:szCs w:val="21"/>
                <w:highlight w:val="none"/>
              </w:rPr>
            </w:pPr>
            <w:r>
              <w:rPr>
                <w:rFonts w:hint="eastAsia" w:ascii="黑体" w:hAnsi="黑体" w:eastAsia="黑体"/>
                <w:szCs w:val="21"/>
                <w:highlight w:val="none"/>
              </w:rPr>
              <w:t>统一社会信用代码的三证合一的营业执照副本</w:t>
            </w:r>
          </w:p>
        </w:tc>
        <w:tc>
          <w:tcPr>
            <w:tcW w:w="1843" w:type="dxa"/>
            <w:shd w:val="clear" w:color="auto" w:fill="auto"/>
          </w:tcPr>
          <w:p w14:paraId="5C0B4A24">
            <w:pPr>
              <w:jc w:val="center"/>
              <w:rPr>
                <w:rFonts w:eastAsia="黑体"/>
                <w:b/>
                <w:bCs/>
                <w:sz w:val="28"/>
                <w:highlight w:val="none"/>
              </w:rPr>
            </w:pPr>
          </w:p>
        </w:tc>
      </w:tr>
      <w:tr w14:paraId="2056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49583D4E">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2</w:t>
            </w:r>
          </w:p>
        </w:tc>
        <w:tc>
          <w:tcPr>
            <w:tcW w:w="6378" w:type="dxa"/>
            <w:shd w:val="clear" w:color="auto" w:fill="auto"/>
            <w:vAlign w:val="center"/>
          </w:tcPr>
          <w:p w14:paraId="1FAFF834">
            <w:pPr>
              <w:jc w:val="left"/>
              <w:rPr>
                <w:rFonts w:ascii="黑体" w:hAnsi="黑体" w:eastAsia="黑体"/>
                <w:bCs/>
                <w:szCs w:val="21"/>
                <w:highlight w:val="none"/>
              </w:rPr>
            </w:pPr>
            <w:r>
              <w:rPr>
                <w:rFonts w:hint="eastAsia" w:ascii="黑体" w:hAnsi="黑体" w:eastAsia="黑体"/>
                <w:szCs w:val="21"/>
                <w:highlight w:val="none"/>
              </w:rPr>
              <w:t>信用证明：银行资信证明、信用中国/信用山东无违法记录证明</w:t>
            </w:r>
            <w:r>
              <w:rPr>
                <w:rFonts w:hint="eastAsia" w:ascii="黑体" w:hAnsi="黑体" w:eastAsia="黑体"/>
                <w:szCs w:val="21"/>
                <w:highlight w:val="none"/>
                <w:lang w:eastAsia="zh-CN"/>
              </w:rPr>
              <w:t>、</w:t>
            </w:r>
            <w:r>
              <w:rPr>
                <w:rFonts w:hint="eastAsia" w:ascii="黑体" w:hAnsi="黑体" w:eastAsia="黑体"/>
                <w:bCs/>
                <w:szCs w:val="21"/>
                <w:highlight w:val="none"/>
              </w:rPr>
              <w:t>近半年完税证明、信用证明材料（征信报告）</w:t>
            </w:r>
          </w:p>
        </w:tc>
        <w:tc>
          <w:tcPr>
            <w:tcW w:w="1843" w:type="dxa"/>
            <w:shd w:val="clear" w:color="auto" w:fill="auto"/>
          </w:tcPr>
          <w:p w14:paraId="1A2AF840">
            <w:pPr>
              <w:jc w:val="center"/>
              <w:rPr>
                <w:rFonts w:eastAsia="黑体"/>
                <w:b/>
                <w:bCs/>
                <w:sz w:val="28"/>
                <w:highlight w:val="none"/>
              </w:rPr>
            </w:pPr>
          </w:p>
        </w:tc>
      </w:tr>
      <w:tr w14:paraId="25A2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0177DB29">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3</w:t>
            </w:r>
          </w:p>
        </w:tc>
        <w:tc>
          <w:tcPr>
            <w:tcW w:w="6378" w:type="dxa"/>
            <w:shd w:val="clear" w:color="auto" w:fill="auto"/>
            <w:vAlign w:val="center"/>
          </w:tcPr>
          <w:p w14:paraId="415E48F0">
            <w:pPr>
              <w:jc w:val="left"/>
              <w:rPr>
                <w:rFonts w:ascii="黑体" w:hAnsi="黑体" w:eastAsia="黑体"/>
                <w:bCs/>
                <w:szCs w:val="21"/>
                <w:highlight w:val="none"/>
              </w:rPr>
            </w:pPr>
            <w:r>
              <w:rPr>
                <w:rFonts w:hint="eastAsia" w:ascii="黑体" w:hAnsi="黑体" w:eastAsia="黑体"/>
                <w:bCs/>
                <w:szCs w:val="21"/>
                <w:highlight w:val="none"/>
              </w:rPr>
              <w:t>法人授权委托书及身份证</w:t>
            </w:r>
          </w:p>
        </w:tc>
        <w:tc>
          <w:tcPr>
            <w:tcW w:w="1843" w:type="dxa"/>
            <w:shd w:val="clear" w:color="auto" w:fill="auto"/>
          </w:tcPr>
          <w:p w14:paraId="4BE7D755">
            <w:pPr>
              <w:jc w:val="center"/>
              <w:rPr>
                <w:rFonts w:eastAsia="黑体"/>
                <w:b/>
                <w:bCs/>
                <w:sz w:val="28"/>
                <w:highlight w:val="none"/>
              </w:rPr>
            </w:pPr>
          </w:p>
        </w:tc>
      </w:tr>
      <w:tr w14:paraId="1766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313E25E0">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4</w:t>
            </w:r>
          </w:p>
        </w:tc>
        <w:tc>
          <w:tcPr>
            <w:tcW w:w="6378" w:type="dxa"/>
            <w:shd w:val="clear" w:color="auto" w:fill="auto"/>
            <w:vAlign w:val="center"/>
          </w:tcPr>
          <w:p w14:paraId="275EF915">
            <w:pPr>
              <w:jc w:val="left"/>
              <w:rPr>
                <w:rFonts w:ascii="黑体" w:hAnsi="黑体" w:eastAsia="黑体"/>
                <w:bCs/>
                <w:szCs w:val="21"/>
                <w:highlight w:val="none"/>
              </w:rPr>
            </w:pPr>
            <w:r>
              <w:rPr>
                <w:rFonts w:hint="eastAsia" w:ascii="黑体" w:hAnsi="黑体" w:eastAsia="黑体"/>
                <w:bCs/>
                <w:szCs w:val="21"/>
                <w:highlight w:val="none"/>
              </w:rPr>
              <w:t>代理商企业委托证明文件，格式自拟（非代理不需提供）</w:t>
            </w:r>
          </w:p>
        </w:tc>
        <w:tc>
          <w:tcPr>
            <w:tcW w:w="1843" w:type="dxa"/>
            <w:shd w:val="clear" w:color="auto" w:fill="auto"/>
          </w:tcPr>
          <w:p w14:paraId="0C7E7F10">
            <w:pPr>
              <w:jc w:val="center"/>
              <w:rPr>
                <w:rFonts w:eastAsia="黑体"/>
                <w:b/>
                <w:bCs/>
                <w:sz w:val="28"/>
                <w:highlight w:val="none"/>
              </w:rPr>
            </w:pPr>
          </w:p>
        </w:tc>
      </w:tr>
      <w:tr w14:paraId="1DD2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5210F323">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5</w:t>
            </w:r>
          </w:p>
        </w:tc>
        <w:tc>
          <w:tcPr>
            <w:tcW w:w="6378" w:type="dxa"/>
            <w:shd w:val="clear" w:color="auto" w:fill="auto"/>
            <w:vAlign w:val="center"/>
          </w:tcPr>
          <w:p w14:paraId="3A072BA2">
            <w:pPr>
              <w:jc w:val="left"/>
              <w:rPr>
                <w:rFonts w:ascii="黑体" w:hAnsi="黑体" w:eastAsia="黑体"/>
                <w:bCs/>
                <w:szCs w:val="21"/>
                <w:highlight w:val="none"/>
              </w:rPr>
            </w:pPr>
            <w:r>
              <w:rPr>
                <w:rFonts w:hint="eastAsia" w:ascii="黑体" w:hAnsi="黑体" w:eastAsia="黑体"/>
                <w:bCs/>
                <w:szCs w:val="21"/>
                <w:highlight w:val="none"/>
              </w:rPr>
              <w:t>近</w:t>
            </w:r>
            <w:r>
              <w:rPr>
                <w:rFonts w:hint="eastAsia" w:ascii="黑体" w:hAnsi="黑体" w:eastAsia="黑体"/>
                <w:bCs/>
                <w:szCs w:val="21"/>
                <w:highlight w:val="none"/>
                <w:lang w:val="en-US" w:eastAsia="zh-CN"/>
              </w:rPr>
              <w:t>三</w:t>
            </w:r>
            <w:r>
              <w:rPr>
                <w:rFonts w:hint="eastAsia" w:ascii="黑体" w:hAnsi="黑体" w:eastAsia="黑体"/>
                <w:bCs/>
                <w:szCs w:val="21"/>
                <w:highlight w:val="none"/>
              </w:rPr>
              <w:t>年的公司财务报表</w:t>
            </w:r>
          </w:p>
        </w:tc>
        <w:tc>
          <w:tcPr>
            <w:tcW w:w="1843" w:type="dxa"/>
            <w:shd w:val="clear" w:color="auto" w:fill="auto"/>
          </w:tcPr>
          <w:p w14:paraId="138837BA">
            <w:pPr>
              <w:jc w:val="center"/>
              <w:rPr>
                <w:rFonts w:eastAsia="黑体"/>
                <w:b/>
                <w:bCs/>
                <w:sz w:val="28"/>
                <w:highlight w:val="none"/>
              </w:rPr>
            </w:pPr>
          </w:p>
        </w:tc>
      </w:tr>
      <w:tr w14:paraId="4EF2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70458BC3">
            <w:pPr>
              <w:jc w:val="center"/>
              <w:rPr>
                <w:rFonts w:hint="eastAsia" w:ascii="黑体" w:hAnsi="黑体" w:eastAsia="黑体"/>
                <w:bCs/>
                <w:szCs w:val="21"/>
                <w:highlight w:val="none"/>
                <w:lang w:eastAsia="zh-CN"/>
              </w:rPr>
            </w:pPr>
            <w:r>
              <w:rPr>
                <w:rFonts w:hint="eastAsia" w:ascii="黑体" w:hAnsi="黑体" w:eastAsia="黑体"/>
                <w:bCs/>
                <w:szCs w:val="21"/>
                <w:highlight w:val="none"/>
                <w:lang w:val="en-US" w:eastAsia="zh-CN"/>
              </w:rPr>
              <w:t>6</w:t>
            </w:r>
          </w:p>
        </w:tc>
        <w:tc>
          <w:tcPr>
            <w:tcW w:w="6378" w:type="dxa"/>
            <w:shd w:val="clear" w:color="auto" w:fill="auto"/>
            <w:vAlign w:val="center"/>
          </w:tcPr>
          <w:p w14:paraId="3606092F">
            <w:pPr>
              <w:jc w:val="left"/>
              <w:rPr>
                <w:rFonts w:ascii="黑体" w:hAnsi="黑体" w:eastAsia="黑体"/>
                <w:bCs/>
                <w:szCs w:val="21"/>
                <w:highlight w:val="none"/>
              </w:rPr>
            </w:pPr>
            <w:r>
              <w:rPr>
                <w:rFonts w:hint="eastAsia" w:ascii="黑体" w:hAnsi="黑体" w:eastAsia="黑体"/>
                <w:bCs/>
                <w:szCs w:val="21"/>
                <w:highlight w:val="none"/>
              </w:rPr>
              <w:t>保证金缴纳凭证</w:t>
            </w:r>
          </w:p>
        </w:tc>
        <w:tc>
          <w:tcPr>
            <w:tcW w:w="1843" w:type="dxa"/>
            <w:shd w:val="clear" w:color="auto" w:fill="auto"/>
          </w:tcPr>
          <w:p w14:paraId="5BC50D8B">
            <w:pPr>
              <w:jc w:val="center"/>
              <w:rPr>
                <w:rFonts w:eastAsia="黑体"/>
                <w:b/>
                <w:bCs/>
                <w:sz w:val="28"/>
                <w:highlight w:val="none"/>
              </w:rPr>
            </w:pPr>
          </w:p>
        </w:tc>
      </w:tr>
      <w:tr w14:paraId="4C37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5DCC2537">
            <w:pPr>
              <w:jc w:val="center"/>
              <w:rPr>
                <w:rFonts w:hint="eastAsia" w:ascii="黑体" w:hAnsi="黑体" w:eastAsia="黑体"/>
                <w:bCs/>
                <w:szCs w:val="21"/>
                <w:highlight w:val="none"/>
              </w:rPr>
            </w:pPr>
            <w:r>
              <w:rPr>
                <w:rFonts w:hint="eastAsia" w:ascii="黑体" w:hAnsi="黑体" w:eastAsia="黑体"/>
                <w:bCs/>
                <w:szCs w:val="21"/>
                <w:highlight w:val="none"/>
                <w:lang w:val="en-US" w:eastAsia="zh-CN"/>
              </w:rPr>
              <w:t>7</w:t>
            </w:r>
          </w:p>
        </w:tc>
        <w:tc>
          <w:tcPr>
            <w:tcW w:w="6378" w:type="dxa"/>
            <w:shd w:val="clear" w:color="auto" w:fill="auto"/>
            <w:vAlign w:val="center"/>
          </w:tcPr>
          <w:p w14:paraId="69610CC7">
            <w:pPr>
              <w:jc w:val="left"/>
              <w:rPr>
                <w:rFonts w:hint="eastAsia" w:ascii="黑体" w:hAnsi="黑体" w:eastAsia="黑体"/>
                <w:bCs/>
                <w:szCs w:val="21"/>
                <w:highlight w:val="none"/>
              </w:rPr>
            </w:pPr>
            <w:r>
              <w:rPr>
                <w:rFonts w:hint="eastAsia" w:ascii="黑体" w:hAnsi="黑体" w:eastAsia="黑体"/>
                <w:bCs/>
                <w:szCs w:val="21"/>
                <w:highlight w:val="none"/>
              </w:rPr>
              <w:t>年度纳税信用评价信息（可从电子税务局查询截图，需加盖公章）</w:t>
            </w:r>
          </w:p>
        </w:tc>
        <w:tc>
          <w:tcPr>
            <w:tcW w:w="1843" w:type="dxa"/>
            <w:shd w:val="clear" w:color="auto" w:fill="auto"/>
          </w:tcPr>
          <w:p w14:paraId="21953040">
            <w:pPr>
              <w:jc w:val="center"/>
              <w:rPr>
                <w:rFonts w:eastAsia="黑体"/>
                <w:b/>
                <w:bCs/>
                <w:sz w:val="28"/>
                <w:highlight w:val="none"/>
              </w:rPr>
            </w:pPr>
          </w:p>
        </w:tc>
      </w:tr>
      <w:tr w14:paraId="73FC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4AFB5F1B">
            <w:pPr>
              <w:jc w:val="center"/>
              <w:rPr>
                <w:rFonts w:hint="eastAsia" w:ascii="黑体" w:hAnsi="黑体" w:eastAsia="黑体"/>
                <w:bCs/>
                <w:szCs w:val="21"/>
                <w:highlight w:val="none"/>
              </w:rPr>
            </w:pPr>
            <w:r>
              <w:rPr>
                <w:rFonts w:hint="eastAsia" w:ascii="黑体" w:hAnsi="黑体" w:eastAsia="黑体"/>
                <w:bCs/>
                <w:szCs w:val="21"/>
                <w:highlight w:val="none"/>
                <w:lang w:val="en-US" w:eastAsia="zh-CN"/>
              </w:rPr>
              <w:t>8</w:t>
            </w:r>
          </w:p>
        </w:tc>
        <w:tc>
          <w:tcPr>
            <w:tcW w:w="6378" w:type="dxa"/>
            <w:shd w:val="clear" w:color="auto" w:fill="auto"/>
            <w:vAlign w:val="center"/>
          </w:tcPr>
          <w:p w14:paraId="2A0DC50B">
            <w:pPr>
              <w:jc w:val="left"/>
              <w:rPr>
                <w:rFonts w:hint="eastAsia" w:ascii="黑体" w:hAnsi="黑体" w:eastAsia="黑体"/>
                <w:bCs/>
                <w:szCs w:val="21"/>
                <w:highlight w:val="none"/>
              </w:rPr>
            </w:pPr>
            <w:r>
              <w:rPr>
                <w:rFonts w:hint="eastAsia" w:ascii="黑体" w:hAnsi="黑体" w:eastAsia="黑体"/>
                <w:bCs/>
                <w:szCs w:val="21"/>
                <w:highlight w:val="none"/>
              </w:rPr>
              <w:t>企业对外担保说明（写明贵单位对外有无对外担保和质押业务，需加盖公章）</w:t>
            </w:r>
          </w:p>
        </w:tc>
        <w:tc>
          <w:tcPr>
            <w:tcW w:w="1843" w:type="dxa"/>
            <w:shd w:val="clear" w:color="auto" w:fill="auto"/>
          </w:tcPr>
          <w:p w14:paraId="50F09315">
            <w:pPr>
              <w:jc w:val="center"/>
              <w:rPr>
                <w:rFonts w:eastAsia="黑体"/>
                <w:b/>
                <w:bCs/>
                <w:sz w:val="28"/>
                <w:highlight w:val="none"/>
              </w:rPr>
            </w:pPr>
          </w:p>
        </w:tc>
      </w:tr>
      <w:tr w14:paraId="2A0A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1BDC81A1">
            <w:pPr>
              <w:jc w:val="center"/>
              <w:rPr>
                <w:rFonts w:hint="default" w:ascii="黑体" w:hAnsi="黑体" w:eastAsia="黑体"/>
                <w:bCs/>
                <w:szCs w:val="21"/>
                <w:highlight w:val="none"/>
                <w:lang w:val="en-US" w:eastAsia="zh-CN"/>
              </w:rPr>
            </w:pPr>
            <w:r>
              <w:rPr>
                <w:rFonts w:hint="eastAsia" w:ascii="黑体" w:hAnsi="黑体" w:eastAsia="黑体"/>
                <w:bCs/>
                <w:szCs w:val="21"/>
                <w:highlight w:val="none"/>
                <w:lang w:val="en-US" w:eastAsia="zh-CN"/>
              </w:rPr>
              <w:t>9</w:t>
            </w:r>
          </w:p>
        </w:tc>
        <w:tc>
          <w:tcPr>
            <w:tcW w:w="6378" w:type="dxa"/>
            <w:shd w:val="clear" w:color="auto" w:fill="auto"/>
            <w:vAlign w:val="center"/>
          </w:tcPr>
          <w:p w14:paraId="7BE5DCBF">
            <w:pPr>
              <w:jc w:val="left"/>
              <w:rPr>
                <w:rFonts w:hint="default" w:ascii="黑体" w:hAnsi="黑体" w:eastAsia="黑体"/>
                <w:bCs/>
                <w:color w:val="0000FF"/>
                <w:szCs w:val="21"/>
                <w:highlight w:val="none"/>
                <w:lang w:val="en-US" w:eastAsia="zh-CN"/>
              </w:rPr>
            </w:pPr>
            <w:r>
              <w:rPr>
                <w:rFonts w:hint="eastAsia" w:ascii="黑体" w:hAnsi="黑体" w:eastAsia="黑体"/>
                <w:bCs/>
                <w:szCs w:val="21"/>
                <w:highlight w:val="none"/>
              </w:rPr>
              <w:t>本项目的授权书（针对该项目的唯一授权书）、所投产品具有强制性产品认证证书、所投产品具有入网许可证；</w:t>
            </w:r>
          </w:p>
        </w:tc>
        <w:tc>
          <w:tcPr>
            <w:tcW w:w="1843" w:type="dxa"/>
            <w:shd w:val="clear" w:color="auto" w:fill="auto"/>
          </w:tcPr>
          <w:p w14:paraId="460D83A6">
            <w:pPr>
              <w:jc w:val="center"/>
              <w:rPr>
                <w:rFonts w:eastAsia="黑体"/>
                <w:b/>
                <w:bCs/>
                <w:sz w:val="28"/>
                <w:highlight w:val="none"/>
              </w:rPr>
            </w:pPr>
          </w:p>
        </w:tc>
      </w:tr>
    </w:tbl>
    <w:p w14:paraId="2D6D6039">
      <w:pPr>
        <w:pStyle w:val="7"/>
        <w:spacing w:line="360" w:lineRule="auto"/>
        <w:ind w:firstLine="720" w:firstLineChars="300"/>
        <w:rPr>
          <w:rFonts w:hAnsi="宋体"/>
          <w:bCs/>
          <w:sz w:val="24"/>
          <w:szCs w:val="24"/>
          <w:highlight w:val="none"/>
        </w:rPr>
      </w:pPr>
    </w:p>
    <w:p w14:paraId="6FEE3D34">
      <w:pPr>
        <w:jc w:val="center"/>
        <w:rPr>
          <w:rFonts w:ascii="宋体" w:hAnsi="宋体"/>
          <w:b/>
          <w:iCs/>
          <w:sz w:val="36"/>
        </w:rPr>
      </w:pPr>
      <w:r>
        <w:rPr>
          <w:rFonts w:hint="eastAsia" w:hAnsi="宋体"/>
          <w:bCs/>
          <w:sz w:val="24"/>
          <w:szCs w:val="24"/>
          <w:highlight w:val="none"/>
        </w:rPr>
        <w:t>注：</w:t>
      </w:r>
      <w:r>
        <w:rPr>
          <w:rFonts w:hint="eastAsia" w:hAnsi="宋体"/>
          <w:sz w:val="24"/>
          <w:szCs w:val="24"/>
          <w:highlight w:val="none"/>
        </w:rPr>
        <w:t>以上资料缺一不可，投标方需提供高清扫描文件，未能提供或资料不全的投标单位为无效投标，认定无效投标的厂家招标方将不再提供样品制作清单，开标时现场将核验原件，如有弄虚作假行为一经发现，将纳入供应商黑名单。</w:t>
      </w:r>
    </w:p>
    <w:p w14:paraId="2949BF33">
      <w:pPr>
        <w:pStyle w:val="11"/>
        <w:ind w:left="0" w:leftChars="0" w:firstLine="0"/>
      </w:pPr>
      <w:r>
        <w:rPr>
          <w:rFonts w:ascii="仿宋_GB2312" w:eastAsia="仿宋_GB2312"/>
          <w:sz w:val="32"/>
          <w:szCs w:val="32"/>
        </w:rPr>
        <w:t xml:space="preserve">     </w:t>
      </w:r>
    </w:p>
    <w:p w14:paraId="3036FCD4">
      <w:pPr>
        <w:jc w:val="center"/>
        <w:rPr>
          <w:rFonts w:ascii="宋体" w:hAnsi="宋体"/>
          <w:b/>
          <w:iCs/>
          <w:sz w:val="36"/>
        </w:rPr>
      </w:pPr>
      <w:r>
        <w:rPr>
          <w:rFonts w:ascii="宋体" w:hAnsi="宋体"/>
          <w:b/>
          <w:iCs/>
          <w:sz w:val="36"/>
        </w:rPr>
        <w:t>第</w:t>
      </w:r>
      <w:r>
        <w:rPr>
          <w:rFonts w:hint="eastAsia" w:ascii="宋体" w:hAnsi="宋体"/>
          <w:b/>
          <w:iCs/>
          <w:sz w:val="36"/>
          <w:lang w:val="en-US" w:eastAsia="zh-CN"/>
        </w:rPr>
        <w:t>二</w:t>
      </w:r>
      <w:r>
        <w:rPr>
          <w:rFonts w:ascii="宋体" w:hAnsi="宋体"/>
          <w:b/>
          <w:iCs/>
          <w:sz w:val="36"/>
        </w:rPr>
        <w:t>章</w:t>
      </w:r>
      <w:r>
        <w:rPr>
          <w:rFonts w:hint="eastAsia" w:ascii="宋体" w:hAnsi="宋体"/>
          <w:b/>
          <w:iCs/>
          <w:sz w:val="36"/>
        </w:rPr>
        <w:t>：重汽</w:t>
      </w:r>
      <w:r>
        <w:rPr>
          <w:rFonts w:ascii="宋体" w:hAnsi="宋体"/>
          <w:b/>
          <w:iCs/>
          <w:sz w:val="36"/>
        </w:rPr>
        <w:t>e</w:t>
      </w:r>
      <w:r>
        <w:rPr>
          <w:rFonts w:hint="eastAsia" w:ascii="宋体" w:hAnsi="宋体"/>
          <w:b/>
          <w:iCs/>
          <w:sz w:val="36"/>
          <w:lang w:val="en-US" w:eastAsia="zh-CN"/>
        </w:rPr>
        <w:t>采</w:t>
      </w:r>
      <w:r>
        <w:rPr>
          <w:rFonts w:hint="eastAsia" w:ascii="宋体" w:hAnsi="宋体"/>
          <w:b/>
          <w:iCs/>
          <w:sz w:val="36"/>
        </w:rPr>
        <w:t>通供应商使用说明</w:t>
      </w:r>
    </w:p>
    <w:p w14:paraId="7BB45E2D">
      <w:pPr>
        <w:pStyle w:val="7"/>
        <w:outlineLvl w:val="2"/>
        <w:rPr>
          <w:rFonts w:hAnsi="宋体" w:cs="宋体"/>
          <w:b/>
          <w:bCs/>
          <w:color w:val="000000"/>
          <w:sz w:val="24"/>
          <w:szCs w:val="24"/>
        </w:rPr>
      </w:pPr>
      <w:r>
        <w:rPr>
          <w:rFonts w:hint="eastAsia" w:hAnsi="宋体" w:cs="宋体"/>
          <w:b/>
          <w:bCs/>
          <w:color w:val="000000"/>
          <w:sz w:val="24"/>
          <w:szCs w:val="24"/>
        </w:rPr>
        <w:t>1、SRM非生产供应商注册操作手册</w:t>
      </w:r>
    </w:p>
    <w:p w14:paraId="1F410DFE">
      <w:pPr>
        <w:adjustRightInd w:val="0"/>
        <w:snapToGrid w:val="0"/>
        <w:jc w:val="left"/>
        <w:rPr>
          <w:rFonts w:ascii="宋体" w:hAnsi="宋体" w:cs="宋体"/>
          <w:sz w:val="24"/>
          <w:szCs w:val="24"/>
        </w:rPr>
      </w:pPr>
    </w:p>
    <w:p w14:paraId="7E19989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070A3B81">
      <w:pPr>
        <w:adjustRightInd w:val="0"/>
        <w:snapToGrid w:val="0"/>
        <w:spacing w:line="360" w:lineRule="auto"/>
        <w:jc w:val="left"/>
        <w:rPr>
          <w:rFonts w:ascii="宋体" w:hAnsi="宋体" w:cs="宋体"/>
          <w:sz w:val="24"/>
          <w:szCs w:val="24"/>
        </w:rPr>
      </w:pPr>
      <w:r>
        <w:fldChar w:fldCharType="begin"/>
      </w:r>
      <w:r>
        <w:instrText xml:space="preserve"> HYPERLINK "https://ecaitong.sinotruk.com:8012/" \l "/login" </w:instrText>
      </w:r>
      <w:r>
        <w:fldChar w:fldCharType="separate"/>
      </w:r>
      <w:r>
        <w:rPr>
          <w:rStyle w:val="16"/>
          <w:rFonts w:ascii="宋体" w:hAnsi="宋体" w:cs="宋体"/>
          <w:sz w:val="24"/>
          <w:szCs w:val="24"/>
        </w:rPr>
        <w:t>https://ecaitong.sinotruk.com:8012/#/login</w:t>
      </w:r>
      <w:r>
        <w:rPr>
          <w:rStyle w:val="16"/>
          <w:rFonts w:ascii="宋体" w:hAnsi="宋体" w:cs="宋体"/>
          <w:sz w:val="24"/>
          <w:szCs w:val="24"/>
        </w:rPr>
        <w:fldChar w:fldCharType="end"/>
      </w:r>
    </w:p>
    <w:p w14:paraId="0622B81A">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03EAB898">
      <w:pPr>
        <w:snapToGrid w:val="0"/>
        <w:spacing w:line="312" w:lineRule="auto"/>
      </w:pPr>
      <w:r>
        <w:drawing>
          <wp:inline distT="0" distB="0" distL="0" distR="0">
            <wp:extent cx="5764530" cy="2931795"/>
            <wp:effectExtent l="0" t="0" r="7620" b="190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4530" cy="2931795"/>
                    </a:xfrm>
                    <a:prstGeom prst="rect">
                      <a:avLst/>
                    </a:prstGeom>
                    <a:noFill/>
                    <a:ln>
                      <a:noFill/>
                    </a:ln>
                  </pic:spPr>
                </pic:pic>
              </a:graphicData>
            </a:graphic>
          </wp:inline>
        </w:drawing>
      </w:r>
    </w:p>
    <w:p w14:paraId="6F5DD3E4">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FCC3A4E">
      <w:pPr>
        <w:snapToGrid w:val="0"/>
        <w:spacing w:line="312" w:lineRule="auto"/>
      </w:pPr>
      <w:r>
        <w:drawing>
          <wp:inline distT="0" distB="0" distL="0" distR="0">
            <wp:extent cx="5764530" cy="2762885"/>
            <wp:effectExtent l="0" t="0" r="7620" b="18415"/>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64530" cy="2762885"/>
                    </a:xfrm>
                    <a:prstGeom prst="rect">
                      <a:avLst/>
                    </a:prstGeom>
                    <a:noFill/>
                    <a:ln>
                      <a:noFill/>
                    </a:ln>
                  </pic:spPr>
                </pic:pic>
              </a:graphicData>
            </a:graphic>
          </wp:inline>
        </w:drawing>
      </w:r>
    </w:p>
    <w:p w14:paraId="6BE29AD9">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2AFA8980">
      <w:pPr>
        <w:snapToGrid w:val="0"/>
        <w:spacing w:line="312" w:lineRule="auto"/>
      </w:pPr>
      <w:r>
        <w:drawing>
          <wp:inline distT="0" distB="0" distL="0" distR="0">
            <wp:extent cx="5764530" cy="2872105"/>
            <wp:effectExtent l="0" t="0" r="7620" b="444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64530" cy="2872105"/>
                    </a:xfrm>
                    <a:prstGeom prst="rect">
                      <a:avLst/>
                    </a:prstGeom>
                    <a:noFill/>
                    <a:ln>
                      <a:noFill/>
                    </a:ln>
                  </pic:spPr>
                </pic:pic>
              </a:graphicData>
            </a:graphic>
          </wp:inline>
        </w:drawing>
      </w:r>
    </w:p>
    <w:p w14:paraId="698025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A165F0A">
      <w:pPr>
        <w:snapToGrid w:val="0"/>
        <w:spacing w:line="312" w:lineRule="auto"/>
      </w:pPr>
      <w:r>
        <w:drawing>
          <wp:inline distT="0" distB="0" distL="0" distR="0">
            <wp:extent cx="5764530" cy="2852420"/>
            <wp:effectExtent l="0" t="0" r="7620" b="5080"/>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64530" cy="2852420"/>
                    </a:xfrm>
                    <a:prstGeom prst="rect">
                      <a:avLst/>
                    </a:prstGeom>
                    <a:noFill/>
                    <a:ln>
                      <a:noFill/>
                    </a:ln>
                  </pic:spPr>
                </pic:pic>
              </a:graphicData>
            </a:graphic>
          </wp:inline>
        </w:drawing>
      </w:r>
    </w:p>
    <w:p w14:paraId="0D262DD9">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3AD43494">
      <w:pPr>
        <w:rPr>
          <w:rFonts w:ascii="宋体" w:hAnsi="宋体" w:cs="宋体"/>
          <w:color w:val="000000"/>
        </w:rPr>
      </w:pPr>
    </w:p>
    <w:p w14:paraId="1B14081C">
      <w:r>
        <w:drawing>
          <wp:inline distT="0" distB="0" distL="0" distR="0">
            <wp:extent cx="5764530" cy="2813050"/>
            <wp:effectExtent l="0" t="0" r="7620" b="6350"/>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64530" cy="2813050"/>
                    </a:xfrm>
                    <a:prstGeom prst="rect">
                      <a:avLst/>
                    </a:prstGeom>
                    <a:noFill/>
                    <a:ln>
                      <a:noFill/>
                    </a:ln>
                  </pic:spPr>
                </pic:pic>
              </a:graphicData>
            </a:graphic>
          </wp:inline>
        </w:drawing>
      </w:r>
    </w:p>
    <w:p w14:paraId="717B1A44">
      <w:pPr>
        <w:pStyle w:val="7"/>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drawing>
          <wp:inline distT="0" distB="0" distL="0" distR="0">
            <wp:extent cx="6470015" cy="3985260"/>
            <wp:effectExtent l="0" t="0" r="6985" b="15240"/>
            <wp:docPr id="19" name="图片 19" descr="descript"/>
            <wp:cNvGraphicFramePr/>
            <a:graphic xmlns:a="http://schemas.openxmlformats.org/drawingml/2006/main">
              <a:graphicData uri="http://schemas.openxmlformats.org/drawingml/2006/picture">
                <pic:pic xmlns:pic="http://schemas.openxmlformats.org/drawingml/2006/picture">
                  <pic:nvPicPr>
                    <pic:cNvPr id="19" name="图片 19" descr="descrip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478739" cy="3990744"/>
                    </a:xfrm>
                    <a:prstGeom prst="rect">
                      <a:avLst/>
                    </a:prstGeom>
                    <a:noFill/>
                    <a:ln>
                      <a:noFill/>
                    </a:ln>
                  </pic:spPr>
                </pic:pic>
              </a:graphicData>
            </a:graphic>
          </wp:inline>
        </w:drawing>
      </w:r>
    </w:p>
    <w:p w14:paraId="1156A44C">
      <w:pPr>
        <w:pStyle w:val="7"/>
        <w:outlineLvl w:val="2"/>
        <w:rPr>
          <w:rFonts w:hAnsi="宋体"/>
          <w:b/>
          <w:color w:val="000000"/>
          <w:sz w:val="24"/>
          <w:szCs w:val="24"/>
        </w:rPr>
      </w:pPr>
      <w:r>
        <w:rPr>
          <w:rFonts w:hint="eastAsia" w:hAnsi="宋体" w:cs="宋体"/>
          <w:b/>
          <w:bCs/>
          <w:color w:val="000000"/>
          <w:sz w:val="24"/>
          <w:szCs w:val="24"/>
        </w:rPr>
        <w:t xml:space="preserve"> </w:t>
      </w:r>
      <w:r>
        <w:rPr>
          <w:rFonts w:hAnsi="宋体" w:cs="宋体"/>
          <w:b/>
          <w:bCs/>
          <w:color w:val="000000"/>
          <w:sz w:val="24"/>
          <w:szCs w:val="24"/>
        </w:rPr>
        <w:t>2</w:t>
      </w:r>
      <w:r>
        <w:rPr>
          <w:rFonts w:hint="eastAsia" w:hAnsi="宋体" w:cs="宋体"/>
          <w:b/>
          <w:bCs/>
          <w:color w:val="000000"/>
          <w:sz w:val="24"/>
          <w:szCs w:val="24"/>
        </w:rPr>
        <w:t>、</w:t>
      </w:r>
      <w:r>
        <w:rPr>
          <w:rFonts w:hint="eastAsia" w:hAnsi="宋体"/>
          <w:b/>
          <w:color w:val="000000"/>
          <w:sz w:val="24"/>
          <w:szCs w:val="24"/>
        </w:rPr>
        <w:t>SRM系统供应商用户手册</w:t>
      </w:r>
    </w:p>
    <w:p w14:paraId="4AB39736">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"https://ecaitong.sinotruk.com:8012/" </w:instrText>
      </w:r>
      <w:r>
        <w:fldChar w:fldCharType="separate"/>
      </w:r>
      <w:r>
        <w:rPr>
          <w:rStyle w:val="16"/>
          <w:rFonts w:hint="eastAsia" w:ascii="宋体" w:hAnsi="宋体" w:cs="宋体"/>
          <w:sz w:val="24"/>
          <w:szCs w:val="24"/>
        </w:rPr>
        <w:t>https://ecaitong.sinotruk.com:8012/</w:t>
      </w:r>
      <w:r>
        <w:rPr>
          <w:rStyle w:val="16"/>
          <w:rFonts w:hint="eastAsia" w:ascii="宋体" w:hAnsi="宋体" w:cs="宋体"/>
          <w:sz w:val="24"/>
          <w:szCs w:val="24"/>
        </w:rPr>
        <w:fldChar w:fldCharType="end"/>
      </w:r>
    </w:p>
    <w:p w14:paraId="63BB4B4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3D1ED2D7">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234A1C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1C5054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7DB223F">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3190D2BA">
      <w:r>
        <w:drawing>
          <wp:inline distT="0" distB="0" distL="0" distR="0">
            <wp:extent cx="5764530" cy="2266315"/>
            <wp:effectExtent l="0" t="0" r="7620" b="635"/>
            <wp:docPr id="20" name="图片 20" descr="descript"/>
            <wp:cNvGraphicFramePr/>
            <a:graphic xmlns:a="http://schemas.openxmlformats.org/drawingml/2006/main">
              <a:graphicData uri="http://schemas.openxmlformats.org/drawingml/2006/picture">
                <pic:pic xmlns:pic="http://schemas.openxmlformats.org/drawingml/2006/picture">
                  <pic:nvPicPr>
                    <pic:cNvPr id="20" name="图片 20" descr="descript"/>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64530" cy="2266315"/>
                    </a:xfrm>
                    <a:prstGeom prst="rect">
                      <a:avLst/>
                    </a:prstGeom>
                    <a:noFill/>
                    <a:ln>
                      <a:noFill/>
                    </a:ln>
                  </pic:spPr>
                </pic:pic>
              </a:graphicData>
            </a:graphic>
          </wp:inline>
        </w:drawing>
      </w:r>
    </w:p>
    <w:p w14:paraId="1E31DA90"/>
    <w:p w14:paraId="48B46982">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4B22AFE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61A3C644">
      <w:pPr>
        <w:rPr>
          <w:rFonts w:ascii="宋体" w:hAnsi="宋体" w:cs="宋体"/>
          <w:color w:val="000000"/>
        </w:rPr>
      </w:pPr>
      <w:r>
        <w:rPr>
          <w:rFonts w:ascii="宋体" w:hAnsi="宋体" w:cs="宋体"/>
          <w:color w:val="000000"/>
        </w:rPr>
        <w:drawing>
          <wp:inline distT="0" distB="0" distL="0" distR="0">
            <wp:extent cx="5764530" cy="2127250"/>
            <wp:effectExtent l="0" t="0" r="7620" b="6350"/>
            <wp:docPr id="21" name="图片 21" descr="descript"/>
            <wp:cNvGraphicFramePr/>
            <a:graphic xmlns:a="http://schemas.openxmlformats.org/drawingml/2006/main">
              <a:graphicData uri="http://schemas.openxmlformats.org/drawingml/2006/picture">
                <pic:pic xmlns:pic="http://schemas.openxmlformats.org/drawingml/2006/picture">
                  <pic:nvPicPr>
                    <pic:cNvPr id="21" name="图片 21" descr="descript"/>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64530" cy="2127250"/>
                    </a:xfrm>
                    <a:prstGeom prst="rect">
                      <a:avLst/>
                    </a:prstGeom>
                    <a:noFill/>
                    <a:ln>
                      <a:noFill/>
                    </a:ln>
                  </pic:spPr>
                </pic:pic>
              </a:graphicData>
            </a:graphic>
          </wp:inline>
        </w:drawing>
      </w:r>
    </w:p>
    <w:p w14:paraId="7259FE91">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CE1171D">
      <w:pPr>
        <w:rPr>
          <w:b/>
          <w:bCs/>
        </w:rPr>
      </w:pPr>
      <w:r>
        <w:rPr>
          <w:rFonts w:hint="eastAsia"/>
          <w:b/>
          <w:bCs/>
          <w:highlight w:val="yellow"/>
        </w:rPr>
        <w:t>请注意，投标报价单位为万元含税</w:t>
      </w:r>
    </w:p>
    <w:p w14:paraId="15ACC880">
      <w:pPr>
        <w:pStyle w:val="11"/>
      </w:pPr>
    </w:p>
    <w:p w14:paraId="2A2EA3E3">
      <w:pPr>
        <w:pStyle w:val="4"/>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673350"/>
            <wp:effectExtent l="0" t="0" r="0" b="12700"/>
            <wp:docPr id="22" name="图片 22" descr="descript"/>
            <wp:cNvGraphicFramePr/>
            <a:graphic xmlns:a="http://schemas.openxmlformats.org/drawingml/2006/main">
              <a:graphicData uri="http://schemas.openxmlformats.org/drawingml/2006/picture">
                <pic:pic xmlns:pic="http://schemas.openxmlformats.org/drawingml/2006/picture">
                  <pic:nvPicPr>
                    <pic:cNvPr id="22" name="图片 22" descr="descript"/>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86400" cy="2673350"/>
                    </a:xfrm>
                    <a:prstGeom prst="rect">
                      <a:avLst/>
                    </a:prstGeom>
                    <a:noFill/>
                    <a:ln>
                      <a:noFill/>
                    </a:ln>
                  </pic:spPr>
                </pic:pic>
              </a:graphicData>
            </a:graphic>
          </wp:inline>
        </w:drawing>
      </w:r>
    </w:p>
    <w:p w14:paraId="388FCBAA">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B14AD8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14F8FC28">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76334950">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w:t>
      </w:r>
      <w:r>
        <w:rPr>
          <w:rFonts w:hint="eastAsia" w:ascii="宋体" w:hAnsi="宋体" w:cs="宋体"/>
          <w:color w:val="000000"/>
          <w:sz w:val="24"/>
          <w:szCs w:val="24"/>
        </w:rPr>
        <w:t xml:space="preserve">资质审核完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86400" cy="1987550"/>
            <wp:effectExtent l="0" t="0" r="0" b="12700"/>
            <wp:docPr id="23" name="图片 23" descr="descript"/>
            <wp:cNvGraphicFramePr/>
            <a:graphic xmlns:a="http://schemas.openxmlformats.org/drawingml/2006/main">
              <a:graphicData uri="http://schemas.openxmlformats.org/drawingml/2006/picture">
                <pic:pic xmlns:pic="http://schemas.openxmlformats.org/drawingml/2006/picture">
                  <pic:nvPicPr>
                    <pic:cNvPr id="23" name="图片 23" descr="descript"/>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86400" cy="1987550"/>
                    </a:xfrm>
                    <a:prstGeom prst="rect">
                      <a:avLst/>
                    </a:prstGeom>
                    <a:noFill/>
                    <a:ln>
                      <a:noFill/>
                    </a:ln>
                  </pic:spPr>
                </pic:pic>
              </a:graphicData>
            </a:graphic>
          </wp:inline>
        </w:drawing>
      </w:r>
    </w:p>
    <w:p w14:paraId="49FA5527">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9F1F86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39CFE978">
      <w:pPr>
        <w:spacing w:line="360" w:lineRule="auto"/>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14:paraId="2EF46DC1">
      <w:pPr>
        <w:rPr>
          <w:b/>
          <w:bCs/>
        </w:rPr>
      </w:pPr>
      <w:r>
        <w:rPr>
          <w:rFonts w:hint="eastAsia"/>
          <w:b/>
          <w:bCs/>
          <w:highlight w:val="yellow"/>
        </w:rPr>
        <w:t>请注意，报价单位为万元含税</w:t>
      </w:r>
    </w:p>
    <w:p w14:paraId="148688C7">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45E357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20FD5D9B">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EF13E16">
      <w:pPr>
        <w:pStyle w:val="4"/>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544445"/>
            <wp:effectExtent l="0" t="0" r="0" b="8255"/>
            <wp:docPr id="24" name="图片 24" descr="descript"/>
            <wp:cNvGraphicFramePr/>
            <a:graphic xmlns:a="http://schemas.openxmlformats.org/drawingml/2006/main">
              <a:graphicData uri="http://schemas.openxmlformats.org/drawingml/2006/picture">
                <pic:pic xmlns:pic="http://schemas.openxmlformats.org/drawingml/2006/picture">
                  <pic:nvPicPr>
                    <pic:cNvPr id="24" name="图片 24" descr="descript"/>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86400" cy="2544445"/>
                    </a:xfrm>
                    <a:prstGeom prst="rect">
                      <a:avLst/>
                    </a:prstGeom>
                    <a:noFill/>
                    <a:ln>
                      <a:noFill/>
                    </a:ln>
                  </pic:spPr>
                </pic:pic>
              </a:graphicData>
            </a:graphic>
          </wp:inline>
        </w:drawing>
      </w:r>
    </w:p>
    <w:p w14:paraId="03F8707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05CCA41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63B003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398EF2A3">
      <w:r>
        <w:drawing>
          <wp:inline distT="0" distB="0" distL="0" distR="0">
            <wp:extent cx="5764530" cy="1957705"/>
            <wp:effectExtent l="0" t="0" r="7620" b="4445"/>
            <wp:docPr id="25" name="图片 25" descr="descript"/>
            <wp:cNvGraphicFramePr/>
            <a:graphic xmlns:a="http://schemas.openxmlformats.org/drawingml/2006/main">
              <a:graphicData uri="http://schemas.openxmlformats.org/drawingml/2006/picture">
                <pic:pic xmlns:pic="http://schemas.openxmlformats.org/drawingml/2006/picture">
                  <pic:nvPicPr>
                    <pic:cNvPr id="25" name="图片 25" descr="descript"/>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64530" cy="1957705"/>
                    </a:xfrm>
                    <a:prstGeom prst="rect">
                      <a:avLst/>
                    </a:prstGeom>
                    <a:noFill/>
                    <a:ln>
                      <a:noFill/>
                    </a:ln>
                  </pic:spPr>
                </pic:pic>
              </a:graphicData>
            </a:graphic>
          </wp:inline>
        </w:drawing>
      </w:r>
    </w:p>
    <w:p w14:paraId="278E7ADC">
      <w:pPr>
        <w:pStyle w:val="4"/>
      </w:pPr>
      <w:r>
        <w:rPr>
          <w:rFonts w:hint="eastAsia"/>
        </w:rPr>
        <w:t>7、评标纪律</w:t>
      </w:r>
    </w:p>
    <w:p w14:paraId="44E4E1BC">
      <w:r>
        <w:t>路径：招投标中心-非生产类招投标-</w:t>
      </w:r>
      <w:r>
        <w:rPr>
          <w:rFonts w:hint="eastAsia"/>
        </w:rPr>
        <w:t>供应商投标</w:t>
      </w:r>
    </w:p>
    <w:p w14:paraId="2AE07E58"/>
    <w:p w14:paraId="57588AD1">
      <w:r>
        <w:rPr>
          <w:rFonts w:hint="eastAsia"/>
        </w:rPr>
        <w:t>供应商投标时会弹窗展示评标纪律，要求供应商勾选我已阅知并保证遵守评标记录之后点击确定按钮进入投标界面。</w:t>
      </w:r>
    </w:p>
    <w:p w14:paraId="37EF8C78">
      <w:r>
        <w:drawing>
          <wp:inline distT="0" distB="0" distL="0" distR="0">
            <wp:extent cx="5274310" cy="5763895"/>
            <wp:effectExtent l="0" t="0" r="2540" b="8255"/>
            <wp:docPr id="26"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图形用户界面, 文本, 应用程序&#10;&#10;描述已自动生成"/>
                    <pic:cNvPicPr>
                      <a:picLocks noChangeAspect="1"/>
                    </pic:cNvPicPr>
                  </pic:nvPicPr>
                  <pic:blipFill>
                    <a:blip r:embed="rId28"/>
                    <a:stretch>
                      <a:fillRect/>
                    </a:stretch>
                  </pic:blipFill>
                  <pic:spPr>
                    <a:xfrm>
                      <a:off x="0" y="0"/>
                      <a:ext cx="5274310" cy="5763943"/>
                    </a:xfrm>
                    <a:prstGeom prst="rect">
                      <a:avLst/>
                    </a:prstGeom>
                  </pic:spPr>
                </pic:pic>
              </a:graphicData>
            </a:graphic>
          </wp:inline>
        </w:drawing>
      </w:r>
    </w:p>
    <w:p w14:paraId="3E142D4E">
      <w:pPr>
        <w:pStyle w:val="11"/>
        <w:ind w:left="0" w:leftChars="0" w:firstLine="0"/>
      </w:pPr>
    </w:p>
    <w:p w14:paraId="249117EF">
      <w:pPr>
        <w:pStyle w:val="11"/>
        <w:rPr>
          <w:rFonts w:hint="default"/>
          <w:lang w:val="en-US" w:eastAsia="zh-CN"/>
        </w:rPr>
      </w:pPr>
    </w:p>
    <w:p w14:paraId="611D3EDD">
      <w:pPr>
        <w:pStyle w:val="11"/>
        <w:rPr>
          <w:rFonts w:hint="default"/>
          <w:lang w:val="en-US" w:eastAsia="zh-CN"/>
        </w:rPr>
      </w:pPr>
    </w:p>
    <w:sectPr>
      <w:headerReference r:id="rId13" w:type="default"/>
      <w:footerReference r:id="rId14" w:type="default"/>
      <w:pgSz w:w="11906" w:h="16838"/>
      <w:pgMar w:top="1588" w:right="1418" w:bottom="1134" w:left="1418" w:header="851" w:footer="851"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69175">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2AA5E">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73744">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4E6F8">
    <w:pPr>
      <w:pStyle w:val="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4F2EA">
    <w:pPr>
      <w:pStyle w:val="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31812">
    <w:pPr>
      <w:pStyle w:val="8"/>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E0D21">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19CA3">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2C8D9">
    <w:pPr>
      <w:pStyle w:val="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C4181">
    <w:pPr>
      <w:pStyle w:val="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2231D">
    <w:pPr>
      <w:pStyle w:val="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24F32">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E72E1B"/>
    <w:multiLevelType w:val="singleLevel"/>
    <w:tmpl w:val="EDE72E1B"/>
    <w:lvl w:ilvl="0" w:tentative="0">
      <w:start w:val="4"/>
      <w:numFmt w:val="decimal"/>
      <w:suff w:val="nothing"/>
      <w:lvlText w:val="（%1）"/>
      <w:lvlJc w:val="left"/>
    </w:lvl>
  </w:abstractNum>
  <w:abstractNum w:abstractNumId="1">
    <w:nsid w:val="F49D44CE"/>
    <w:multiLevelType w:val="singleLevel"/>
    <w:tmpl w:val="F49D44CE"/>
    <w:lvl w:ilvl="0" w:tentative="0">
      <w:start w:val="4"/>
      <w:numFmt w:val="decimal"/>
      <w:suff w:val="space"/>
      <w:lvlText w:val="%1."/>
      <w:lvlJc w:val="left"/>
    </w:lvl>
  </w:abstractNum>
  <w:abstractNum w:abstractNumId="2">
    <w:nsid w:val="29ED32B8"/>
    <w:multiLevelType w:val="multilevel"/>
    <w:tmpl w:val="29ED32B8"/>
    <w:lvl w:ilvl="0" w:tentative="0">
      <w:start w:val="1"/>
      <w:numFmt w:val="decimal"/>
      <w:lvlText w:val="（%1）"/>
      <w:lvlJc w:val="left"/>
      <w:pPr>
        <w:tabs>
          <w:tab w:val="left" w:pos="1140"/>
        </w:tabs>
        <w:ind w:left="1140" w:hanging="72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4">
    <w:nsid w:val="77F7D783"/>
    <w:multiLevelType w:val="singleLevel"/>
    <w:tmpl w:val="77F7D783"/>
    <w:lvl w:ilvl="0" w:tentative="0">
      <w:start w:val="1"/>
      <w:numFmt w:val="decimal"/>
      <w:suff w:val="nothing"/>
      <w:lvlText w:val="（%1）"/>
      <w:lvlJc w:val="left"/>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RlNTg1ZDY2ZGFhZjQ3OTNhNTIxMjg4NzdhZmVjNjkifQ=="/>
  </w:docVars>
  <w:rsids>
    <w:rsidRoot w:val="00000000"/>
    <w:rsid w:val="01885910"/>
    <w:rsid w:val="07E65EF6"/>
    <w:rsid w:val="0848639E"/>
    <w:rsid w:val="0B8769D7"/>
    <w:rsid w:val="10443485"/>
    <w:rsid w:val="1152386B"/>
    <w:rsid w:val="11A26C01"/>
    <w:rsid w:val="18CD1131"/>
    <w:rsid w:val="19240ECE"/>
    <w:rsid w:val="1C2938E4"/>
    <w:rsid w:val="20763A10"/>
    <w:rsid w:val="207B0268"/>
    <w:rsid w:val="20A5271C"/>
    <w:rsid w:val="21855BBE"/>
    <w:rsid w:val="26B651A1"/>
    <w:rsid w:val="28667E49"/>
    <w:rsid w:val="2B166257"/>
    <w:rsid w:val="2B71619B"/>
    <w:rsid w:val="2DC647A7"/>
    <w:rsid w:val="2E883FC6"/>
    <w:rsid w:val="31A74C32"/>
    <w:rsid w:val="35E77FAF"/>
    <w:rsid w:val="363A274E"/>
    <w:rsid w:val="364F4D33"/>
    <w:rsid w:val="397F51C4"/>
    <w:rsid w:val="3AEA7AB5"/>
    <w:rsid w:val="3BF177B1"/>
    <w:rsid w:val="3EE03C93"/>
    <w:rsid w:val="407C247B"/>
    <w:rsid w:val="4A1A7CFB"/>
    <w:rsid w:val="4B774C16"/>
    <w:rsid w:val="4EE6239E"/>
    <w:rsid w:val="526F5771"/>
    <w:rsid w:val="54482194"/>
    <w:rsid w:val="57D77C38"/>
    <w:rsid w:val="58B02C30"/>
    <w:rsid w:val="5C9D7D44"/>
    <w:rsid w:val="61110D2D"/>
    <w:rsid w:val="617579FD"/>
    <w:rsid w:val="61914CF0"/>
    <w:rsid w:val="6E977BAD"/>
    <w:rsid w:val="70E062F9"/>
    <w:rsid w:val="747A1BFD"/>
    <w:rsid w:val="7C6B3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qFormat="1"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qFormat/>
    <w:uiPriority w:val="0"/>
    <w:pPr>
      <w:tabs>
        <w:tab w:val="right" w:leader="dot" w:pos="9061"/>
      </w:tabs>
      <w:spacing w:line="360" w:lineRule="auto"/>
      <w:ind w:left="420" w:leftChars="0"/>
      <w:jc w:val="center"/>
      <w:outlineLvl w:val="0"/>
    </w:pPr>
    <w:rPr>
      <w:b/>
      <w:iCs/>
      <w:sz w:val="36"/>
    </w:rPr>
  </w:style>
  <w:style w:type="paragraph" w:styleId="4">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toc 3"/>
    <w:basedOn w:val="1"/>
    <w:next w:val="1"/>
    <w:semiHidden/>
    <w:unhideWhenUsed/>
    <w:qFormat/>
    <w:uiPriority w:val="39"/>
    <w:pPr>
      <w:ind w:left="840" w:leftChars="400"/>
    </w:pPr>
  </w:style>
  <w:style w:type="paragraph" w:styleId="5">
    <w:name w:val="Body Text"/>
    <w:basedOn w:val="1"/>
    <w:qFormat/>
    <w:uiPriority w:val="0"/>
    <w:rPr>
      <w:rFonts w:ascii="仿宋_GB2312" w:eastAsia="仿宋_GB2312"/>
      <w:sz w:val="32"/>
    </w:rPr>
  </w:style>
  <w:style w:type="paragraph" w:styleId="6">
    <w:name w:val="Body Text Indent"/>
    <w:basedOn w:val="1"/>
    <w:unhideWhenUsed/>
    <w:qFormat/>
    <w:uiPriority w:val="99"/>
    <w:pPr>
      <w:spacing w:after="120"/>
      <w:ind w:left="420" w:leftChars="200"/>
    </w:pPr>
    <w:rPr>
      <w:rFonts w:ascii="Calibri" w:hAnsi="Calibri"/>
      <w:szCs w:val="22"/>
    </w:rPr>
  </w:style>
  <w:style w:type="paragraph" w:styleId="7">
    <w:name w:val="Plain Text"/>
    <w:basedOn w:val="1"/>
    <w:qFormat/>
    <w:uiPriority w:val="0"/>
    <w:rPr>
      <w:rFonts w:ascii="宋体" w:hAnsi="Courier New"/>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qFormat/>
    <w:uiPriority w:val="0"/>
    <w:pPr>
      <w:spacing w:line="360" w:lineRule="auto"/>
      <w:jc w:val="left"/>
    </w:pPr>
    <w:rPr>
      <w:rFonts w:ascii="宋体" w:hAnsi="宋体"/>
      <w:b/>
      <w:caps/>
      <w:color w:val="FF0000"/>
      <w:szCs w:val="21"/>
    </w:rPr>
  </w:style>
  <w:style w:type="paragraph" w:styleId="11">
    <w:name w:val="Body Text First Indent 2"/>
    <w:basedOn w:val="6"/>
    <w:next w:val="1"/>
    <w:unhideWhenUsed/>
    <w:qFormat/>
    <w:uiPriority w:val="99"/>
    <w:pPr>
      <w:ind w:firstLine="420"/>
    </w:pPr>
  </w:style>
  <w:style w:type="table" w:styleId="13">
    <w:name w:val="Table Grid"/>
    <w:basedOn w:val="12"/>
    <w:qFormat/>
    <w:uiPriority w:val="59"/>
    <w:pPr>
      <w:widowControl w:val="0"/>
      <w:spacing w:after="200" w:line="276" w:lineRule="auto"/>
    </w:pPr>
    <w:rPr>
      <w:rFonts w:ascii="Calibri" w:hAnsi="Calibri"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Hyperlink"/>
    <w:semiHidden/>
    <w:qFormat/>
    <w:uiPriority w:val="0"/>
    <w:rPr>
      <w:rFonts w:cs="Times New Roman"/>
      <w:color w:val="1F4F88"/>
      <w:u w:val="none"/>
    </w:rPr>
  </w:style>
  <w:style w:type="paragraph" w:customStyle="1" w:styleId="1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8">
    <w:name w:val="font11"/>
    <w:basedOn w:val="14"/>
    <w:qFormat/>
    <w:uiPriority w:val="0"/>
    <w:rPr>
      <w:rFonts w:hint="eastAsia" w:ascii="宋体" w:hAnsi="宋体" w:eastAsia="宋体" w:cs="宋体"/>
      <w:color w:val="000000"/>
      <w:sz w:val="18"/>
      <w:szCs w:val="18"/>
      <w:u w:val="none"/>
    </w:rPr>
  </w:style>
  <w:style w:type="paragraph" w:styleId="19">
    <w:name w:val="List Paragraph"/>
    <w:basedOn w:val="1"/>
    <w:qFormat/>
    <w:uiPriority w:val="34"/>
    <w:pPr>
      <w:ind w:firstLine="420" w:firstLineChars="200"/>
    </w:pPr>
    <w:rPr>
      <w:szCs w:val="24"/>
    </w:rPr>
  </w:style>
  <w:style w:type="paragraph" w:customStyle="1" w:styleId="20">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7520</Words>
  <Characters>7932</Characters>
  <Lines>0</Lines>
  <Paragraphs>0</Paragraphs>
  <TotalTime>52</TotalTime>
  <ScaleCrop>false</ScaleCrop>
  <LinksUpToDate>false</LinksUpToDate>
  <CharactersWithSpaces>8593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2023-05-06T03:04:00Z</dcterms:created>
  <dc:creator>Lenovo</dc:creator>
  <cp:lastModifiedBy>逐鹿</cp:lastModifiedBy>
  <dcterms:modified xsi:type="dcterms:W3CDTF">2025-05-28T01:36:51Z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30EFCBF0320B4FD0BD4A9D9A1353A1BF_13</vt:lpwstr>
  </property>
  <property fmtid="{D5CDD505-2E9C-101B-9397-08002B2CF9AE}" pid="4" name="KSOTemplateDocerSaveRecord">
    <vt:lpwstr>eyJoZGlkIjoiMzRlNTg1ZDY2ZGFhZjQ3OTNhNTIxMjg4NzdhZmVjNjkiLCJ1c2VySWQiOiIxMDM2OTc4Nzk0In0=</vt:lpwstr>
  </property>
</Properties>
</file>